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BD" w:rsidRDefault="0027508F">
      <w:pPr>
        <w:pStyle w:val="Antrat1"/>
        <w:ind w:right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Projektas</w:t>
      </w:r>
    </w:p>
    <w:p w:rsidR="002E22BD" w:rsidRDefault="0027508F">
      <w:pPr>
        <w:pStyle w:val="Antrat1"/>
        <w:ind w:right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ŠILUTĖS RAJONO savivaldybės taryba</w:t>
      </w:r>
    </w:p>
    <w:p w:rsidR="002E22BD" w:rsidRDefault="002E22BD">
      <w:pPr>
        <w:jc w:val="center"/>
        <w:rPr>
          <w:b/>
        </w:rPr>
      </w:pPr>
    </w:p>
    <w:p w:rsidR="002E22BD" w:rsidRDefault="002E22BD">
      <w:pPr>
        <w:jc w:val="center"/>
        <w:rPr>
          <w:b/>
        </w:rPr>
      </w:pPr>
    </w:p>
    <w:p w:rsidR="002E22BD" w:rsidRDefault="002E22BD">
      <w:pPr>
        <w:jc w:val="center"/>
        <w:rPr>
          <w:b/>
        </w:rPr>
      </w:pPr>
    </w:p>
    <w:p w:rsidR="002E22BD" w:rsidRDefault="002E22BD">
      <w:pPr>
        <w:jc w:val="center"/>
        <w:rPr>
          <w:b/>
        </w:rPr>
      </w:pPr>
    </w:p>
    <w:p w:rsidR="002E22BD" w:rsidRDefault="002E22BD">
      <w:pPr>
        <w:jc w:val="center"/>
        <w:rPr>
          <w:b/>
        </w:rPr>
      </w:pPr>
    </w:p>
    <w:p w:rsidR="002E22BD" w:rsidRDefault="00275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2E22BD" w:rsidRDefault="0027508F">
      <w:pPr>
        <w:jc w:val="center"/>
        <w:rPr>
          <w:b/>
          <w:sz w:val="24"/>
          <w:szCs w:val="24"/>
        </w:rPr>
      </w:pPr>
      <w:bookmarkStart w:id="1" w:name="_Hlk508714494"/>
      <w:r>
        <w:rPr>
          <w:b/>
          <w:sz w:val="24"/>
          <w:szCs w:val="24"/>
        </w:rPr>
        <w:t xml:space="preserve">DĖL </w:t>
      </w:r>
      <w:r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>
        <w:rPr>
          <w:b/>
          <w:sz w:val="24"/>
          <w:szCs w:val="24"/>
          <w:shd w:val="clear" w:color="auto" w:fill="FFFFFF"/>
        </w:rPr>
        <w:t xml:space="preserve">TARYBOS 2019 M. GRUODŽIO </w:t>
      </w:r>
      <w:bookmarkEnd w:id="1"/>
      <w:r>
        <w:rPr>
          <w:b/>
          <w:sz w:val="24"/>
          <w:szCs w:val="24"/>
          <w:shd w:val="clear" w:color="auto" w:fill="FFFFFF"/>
        </w:rPr>
        <w:t>19 D. SPRENDIMO</w:t>
      </w:r>
      <w:r>
        <w:rPr>
          <w:rStyle w:val="apple-converted-space"/>
          <w:b/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  <w:shd w:val="clear" w:color="auto" w:fill="FFFFFF"/>
        </w:rPr>
        <w:t>NR. T1-194</w:t>
      </w:r>
      <w:r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„DĖL ŠILUTĖS RAJONO SAVIVALDYBĖS 2020-2022 M. STRATEGINIO VEIKLOS PLANO PATVIRTINIMO“ PAKEITIMO</w:t>
      </w:r>
    </w:p>
    <w:p w:rsidR="002E22BD" w:rsidRDefault="002E22BD">
      <w:pPr>
        <w:jc w:val="center"/>
        <w:rPr>
          <w:b/>
          <w:sz w:val="24"/>
          <w:szCs w:val="24"/>
        </w:rPr>
      </w:pPr>
    </w:p>
    <w:p w:rsidR="002E22BD" w:rsidRDefault="002E22BD">
      <w:pPr>
        <w:jc w:val="center"/>
        <w:rPr>
          <w:sz w:val="24"/>
          <w:szCs w:val="24"/>
        </w:rPr>
      </w:pPr>
    </w:p>
    <w:p w:rsidR="002E22BD" w:rsidRDefault="0027508F">
      <w:pPr>
        <w:jc w:val="center"/>
        <w:rPr>
          <w:sz w:val="24"/>
          <w:szCs w:val="24"/>
        </w:rPr>
      </w:pPr>
      <w:r>
        <w:rPr>
          <w:sz w:val="24"/>
          <w:szCs w:val="24"/>
        </w:rPr>
        <w:t>2020 m. gegužės    d. Nr. T1-</w:t>
      </w:r>
    </w:p>
    <w:p w:rsidR="002E22BD" w:rsidRDefault="0027508F">
      <w:pPr>
        <w:pStyle w:val="Antrat3"/>
        <w:spacing w:line="360" w:lineRule="auto"/>
        <w:ind w:right="0"/>
        <w:jc w:val="center"/>
        <w:rPr>
          <w:szCs w:val="24"/>
        </w:rPr>
      </w:pPr>
      <w:r>
        <w:rPr>
          <w:szCs w:val="24"/>
        </w:rPr>
        <w:t>Šilutė</w:t>
      </w:r>
    </w:p>
    <w:p w:rsidR="002E22BD" w:rsidRDefault="002E22BD"/>
    <w:p w:rsidR="002E22BD" w:rsidRDefault="0027508F">
      <w:pPr>
        <w:pStyle w:val="Antrat2"/>
        <w:shd w:val="clear" w:color="auto" w:fill="FFFFFF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Vadovaudamasi Lietuvos Respublikos vietos savivaldos įstatymo 16 straipsnio 2 dalies 40 punktu, 18 straipsnio 1 dalimi bei remdamasi Šilutės rajono savivaldybės tarybos</w:t>
      </w:r>
      <w:r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2013 m. liepos 25 d. sprendimu</w:t>
      </w:r>
      <w:r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Nr. T1-849 patvirtinta Šilutės rajono savivaldybės strateginio planavimo metodika, Šilutės rajono savivaldybės taryba</w:t>
      </w:r>
      <w:r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  <w:t>nusprendžia:</w:t>
      </w:r>
    </w:p>
    <w:p w:rsidR="002E22BD" w:rsidRDefault="0027508F">
      <w:pPr>
        <w:tabs>
          <w:tab w:val="left" w:pos="1134"/>
        </w:tabs>
        <w:ind w:firstLine="851"/>
        <w:contextualSpacing/>
        <w:jc w:val="both"/>
      </w:pPr>
      <w:r>
        <w:rPr>
          <w:color w:val="000000"/>
          <w:sz w:val="24"/>
          <w:szCs w:val="24"/>
          <w:shd w:val="clear" w:color="auto" w:fill="FFFFFF"/>
        </w:rPr>
        <w:t>Pakeisti Šilutės rajono savivaldybės 2020-2022 m. strateginį veiklos planą, patvirtintą Šilutės rajono savivaldybės tarybos 2019 m. gruodžio 19 d. sprendimu Nr. T1-194 „Dėl Šilutės rajono savivaldybės 2020-2022 m. strateginio veiklos plano patvirtinimo“, p</w:t>
      </w:r>
      <w:r>
        <w:rPr>
          <w:sz w:val="24"/>
          <w:szCs w:val="24"/>
          <w:shd w:val="clear" w:color="auto" w:fill="FFFFFF"/>
        </w:rPr>
        <w:t>atikslinant (08) Investicijų pritraukimo ir verslo vystymo programos priemonę 08.01.01.91, pakeičiant pavadinimą „</w:t>
      </w:r>
      <w:proofErr w:type="spellStart"/>
      <w:r>
        <w:rPr>
          <w:sz w:val="24"/>
          <w:szCs w:val="24"/>
          <w:shd w:val="clear" w:color="auto" w:fill="FFFFFF"/>
        </w:rPr>
        <w:t>Tarpsieninio</w:t>
      </w:r>
      <w:proofErr w:type="spellEnd"/>
      <w:r>
        <w:rPr>
          <w:sz w:val="24"/>
          <w:szCs w:val="24"/>
          <w:shd w:val="clear" w:color="auto" w:fill="FFFFFF"/>
        </w:rPr>
        <w:t xml:space="preserve"> bendradarbiavimo stiprinimas, kuriant tvarią ilgalaikę plėtrą tarp Klaipėdos ir </w:t>
      </w:r>
      <w:proofErr w:type="spellStart"/>
      <w:r>
        <w:rPr>
          <w:sz w:val="24"/>
          <w:szCs w:val="24"/>
          <w:shd w:val="clear" w:color="auto" w:fill="FFFFFF"/>
        </w:rPr>
        <w:t>Kuržemės</w:t>
      </w:r>
      <w:proofErr w:type="spellEnd"/>
      <w:r>
        <w:rPr>
          <w:sz w:val="24"/>
          <w:szCs w:val="24"/>
          <w:shd w:val="clear" w:color="auto" w:fill="FFFFFF"/>
        </w:rPr>
        <w:t xml:space="preserve"> regionų“  į „Regioninis bendradarbiavimas darniam, integruotam ir sumaniam planavimui“ </w:t>
      </w:r>
      <w:hyperlink r:id="rId7">
        <w:r>
          <w:rPr>
            <w:rStyle w:val="Aplankytasinternetosaitas"/>
            <w:sz w:val="24"/>
            <w:szCs w:val="24"/>
            <w:shd w:val="clear" w:color="auto" w:fill="FFFFFF"/>
          </w:rPr>
          <w:t>(pridedama)</w:t>
        </w:r>
      </w:hyperlink>
      <w:r>
        <w:rPr>
          <w:sz w:val="24"/>
          <w:szCs w:val="24"/>
          <w:shd w:val="clear" w:color="auto" w:fill="FFFFFF"/>
        </w:rPr>
        <w:t>.</w:t>
      </w:r>
    </w:p>
    <w:p w:rsidR="002E22BD" w:rsidRDefault="002E22BD">
      <w:pPr>
        <w:ind w:firstLine="680"/>
        <w:jc w:val="both"/>
        <w:rPr>
          <w:sz w:val="24"/>
          <w:szCs w:val="24"/>
        </w:rPr>
      </w:pPr>
    </w:p>
    <w:p w:rsidR="002E22BD" w:rsidRDefault="002E22BD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2E22BD" w:rsidRDefault="002E22BD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2E22BD" w:rsidRDefault="002E22BD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2E22BD" w:rsidRDefault="0027508F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meras </w:t>
      </w:r>
    </w:p>
    <w:p w:rsidR="002E22BD" w:rsidRDefault="002E22BD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</w:p>
    <w:p w:rsidR="002E22BD" w:rsidRDefault="0027508F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22BD" w:rsidRDefault="0027508F">
      <w:pPr>
        <w:tabs>
          <w:tab w:val="left" w:pos="7176"/>
        </w:tabs>
        <w:rPr>
          <w:sz w:val="24"/>
          <w:szCs w:val="24"/>
        </w:rPr>
      </w:pPr>
      <w:r>
        <w:rPr>
          <w:sz w:val="24"/>
          <w:szCs w:val="24"/>
        </w:rPr>
        <w:t xml:space="preserve">Virgilijus </w:t>
      </w:r>
      <w:proofErr w:type="spellStart"/>
      <w:r>
        <w:rPr>
          <w:sz w:val="24"/>
          <w:szCs w:val="24"/>
        </w:rPr>
        <w:t>Pozingis</w:t>
      </w:r>
      <w:proofErr w:type="spellEnd"/>
    </w:p>
    <w:p w:rsidR="002E22BD" w:rsidRDefault="0027508F">
      <w:pPr>
        <w:rPr>
          <w:sz w:val="24"/>
          <w:szCs w:val="24"/>
        </w:rPr>
      </w:pPr>
      <w:r>
        <w:rPr>
          <w:sz w:val="24"/>
          <w:szCs w:val="24"/>
        </w:rPr>
        <w:t>2020-05-</w:t>
      </w:r>
    </w:p>
    <w:p w:rsidR="002E22BD" w:rsidRDefault="002E22BD">
      <w:pPr>
        <w:rPr>
          <w:sz w:val="24"/>
          <w:szCs w:val="24"/>
        </w:rPr>
      </w:pPr>
    </w:p>
    <w:tbl>
      <w:tblPr>
        <w:tblW w:w="10603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984"/>
        <w:gridCol w:w="1452"/>
        <w:gridCol w:w="1780"/>
      </w:tblGrid>
      <w:tr w:rsidR="002E22BD">
        <w:tc>
          <w:tcPr>
            <w:tcW w:w="1700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</w:tc>
      </w:tr>
      <w:tr w:rsidR="002E22BD">
        <w:tc>
          <w:tcPr>
            <w:tcW w:w="1700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</w:tc>
      </w:tr>
      <w:tr w:rsidR="002E22BD">
        <w:trPr>
          <w:trHeight w:val="525"/>
        </w:trPr>
        <w:tc>
          <w:tcPr>
            <w:tcW w:w="1700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</w:rPr>
            </w:pPr>
          </w:p>
          <w:p w:rsidR="002E22BD" w:rsidRDefault="0027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Dalia </w:t>
            </w:r>
          </w:p>
          <w:p w:rsidR="002E22BD" w:rsidRDefault="002750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  <w:p w:rsidR="002E22BD" w:rsidRDefault="0027508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Remigijus </w:t>
            </w:r>
            <w:proofErr w:type="spellStart"/>
            <w:r>
              <w:rPr>
                <w:color w:val="000000"/>
                <w:sz w:val="24"/>
                <w:szCs w:val="24"/>
              </w:rPr>
              <w:t>Budrikas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  <w:p w:rsidR="002E22BD" w:rsidRDefault="0027508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Arvydas Bielskis</w:t>
            </w:r>
          </w:p>
        </w:tc>
        <w:tc>
          <w:tcPr>
            <w:tcW w:w="1984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  <w:lang w:val="sv-SE"/>
              </w:rPr>
            </w:pPr>
          </w:p>
          <w:p w:rsidR="002E22BD" w:rsidRDefault="0027508F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Vita Stulgienė</w:t>
            </w:r>
          </w:p>
          <w:p w:rsidR="002E22BD" w:rsidRDefault="0027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2020-05-06</w:t>
            </w:r>
          </w:p>
        </w:tc>
        <w:tc>
          <w:tcPr>
            <w:tcW w:w="1452" w:type="dxa"/>
            <w:shd w:val="clear" w:color="auto" w:fill="auto"/>
          </w:tcPr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  <w:p w:rsidR="002E22BD" w:rsidRDefault="0027508F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Dorita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Mongirdaitė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</w:tc>
      </w:tr>
      <w:tr w:rsidR="002E22BD">
        <w:trPr>
          <w:trHeight w:val="525"/>
        </w:trPr>
        <w:tc>
          <w:tcPr>
            <w:tcW w:w="1700" w:type="dxa"/>
            <w:shd w:val="clear" w:color="auto" w:fill="auto"/>
          </w:tcPr>
          <w:p w:rsidR="002E22BD" w:rsidRDefault="0027508F">
            <w:r>
              <w:rPr>
                <w:sz w:val="24"/>
                <w:szCs w:val="24"/>
                <w:lang w:val="sv-SE"/>
              </w:rPr>
              <w:t>2020-05-06</w:t>
            </w:r>
          </w:p>
        </w:tc>
        <w:tc>
          <w:tcPr>
            <w:tcW w:w="1843" w:type="dxa"/>
            <w:shd w:val="clear" w:color="auto" w:fill="auto"/>
          </w:tcPr>
          <w:p w:rsidR="002E22BD" w:rsidRDefault="002750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2020-05-06</w:t>
            </w:r>
          </w:p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2BD" w:rsidRDefault="00275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2020-05-05(G)</w:t>
            </w:r>
          </w:p>
        </w:tc>
        <w:tc>
          <w:tcPr>
            <w:tcW w:w="1984" w:type="dxa"/>
            <w:shd w:val="clear" w:color="auto" w:fill="auto"/>
          </w:tcPr>
          <w:p w:rsidR="002E22BD" w:rsidRDefault="002E22BD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52" w:type="dxa"/>
            <w:shd w:val="clear" w:color="auto" w:fill="auto"/>
          </w:tcPr>
          <w:p w:rsidR="002E22BD" w:rsidRDefault="00275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2020-05-06</w:t>
            </w:r>
          </w:p>
        </w:tc>
        <w:tc>
          <w:tcPr>
            <w:tcW w:w="1780" w:type="dxa"/>
            <w:shd w:val="clear" w:color="auto" w:fill="auto"/>
          </w:tcPr>
          <w:p w:rsidR="002E22BD" w:rsidRDefault="002E22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E22BD" w:rsidRDefault="002E22BD">
      <w:pPr>
        <w:jc w:val="both"/>
        <w:rPr>
          <w:color w:val="000000"/>
          <w:sz w:val="24"/>
          <w:szCs w:val="24"/>
        </w:rPr>
      </w:pPr>
    </w:p>
    <w:p w:rsidR="002E22BD" w:rsidRDefault="002E22BD">
      <w:pPr>
        <w:jc w:val="both"/>
        <w:rPr>
          <w:color w:val="000000"/>
          <w:sz w:val="24"/>
          <w:szCs w:val="24"/>
        </w:rPr>
      </w:pPr>
    </w:p>
    <w:p w:rsidR="002E22BD" w:rsidRDefault="002E22BD">
      <w:pPr>
        <w:jc w:val="both"/>
        <w:rPr>
          <w:color w:val="000000"/>
          <w:sz w:val="24"/>
          <w:szCs w:val="24"/>
        </w:rPr>
      </w:pPr>
    </w:p>
    <w:p w:rsidR="002E22BD" w:rsidRDefault="002E22BD">
      <w:pPr>
        <w:jc w:val="both"/>
        <w:rPr>
          <w:color w:val="000000"/>
          <w:sz w:val="24"/>
          <w:szCs w:val="24"/>
        </w:rPr>
      </w:pPr>
    </w:p>
    <w:p w:rsidR="002E22BD" w:rsidRDefault="002E22BD">
      <w:pPr>
        <w:jc w:val="both"/>
        <w:rPr>
          <w:color w:val="000000"/>
          <w:sz w:val="24"/>
          <w:szCs w:val="24"/>
        </w:rPr>
      </w:pPr>
    </w:p>
    <w:p w:rsidR="002E22BD" w:rsidRDefault="0027508F">
      <w:pPr>
        <w:tabs>
          <w:tab w:val="left" w:pos="71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Parengė </w:t>
      </w:r>
      <w:r>
        <w:rPr>
          <w:color w:val="000000"/>
          <w:sz w:val="24"/>
          <w:szCs w:val="24"/>
        </w:rPr>
        <w:tab/>
      </w:r>
    </w:p>
    <w:p w:rsidR="002E22BD" w:rsidRDefault="002E22BD">
      <w:pPr>
        <w:jc w:val="both"/>
        <w:rPr>
          <w:color w:val="000000"/>
          <w:sz w:val="24"/>
          <w:szCs w:val="24"/>
        </w:rPr>
      </w:pPr>
    </w:p>
    <w:p w:rsidR="002E22BD" w:rsidRDefault="0027508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Aušra Stakvilevičienė</w:t>
      </w:r>
    </w:p>
    <w:p w:rsidR="002E22BD" w:rsidRDefault="002750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2020-05-04</w:t>
      </w:r>
    </w:p>
    <w:p w:rsidR="002E22BD" w:rsidRDefault="00275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ŠILUTĖS RAJONO SAVIVALDYBĖS ADMINISTRACIJOS</w:t>
      </w:r>
    </w:p>
    <w:p w:rsidR="002E22BD" w:rsidRDefault="0027508F">
      <w:pPr>
        <w:pStyle w:val="Pavadinimas"/>
        <w:rPr>
          <w:caps/>
        </w:rPr>
      </w:pPr>
      <w:r>
        <w:rPr>
          <w:caps/>
        </w:rPr>
        <w:t>PLANAVIMO IR PLĖTROS SKYRIUS</w:t>
      </w:r>
    </w:p>
    <w:p w:rsidR="002E22BD" w:rsidRDefault="002E22BD">
      <w:pPr>
        <w:pStyle w:val="Pavadinimas"/>
        <w:rPr>
          <w:caps/>
        </w:rPr>
      </w:pPr>
    </w:p>
    <w:p w:rsidR="002E22BD" w:rsidRDefault="0027508F">
      <w:pPr>
        <w:pStyle w:val="Pagrindinistekstas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AIŠKINAMASIS RAŠTAS</w:t>
      </w:r>
    </w:p>
    <w:p w:rsidR="002E22BD" w:rsidRDefault="00275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>
        <w:rPr>
          <w:b/>
          <w:sz w:val="24"/>
          <w:szCs w:val="24"/>
          <w:shd w:val="clear" w:color="auto" w:fill="FFFFFF"/>
        </w:rPr>
        <w:t>TARYBOS 2019 M. GRUODŽIO 19 D. SPRENDIMO</w:t>
      </w:r>
      <w:r>
        <w:rPr>
          <w:rStyle w:val="apple-converted-space"/>
          <w:b/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  <w:shd w:val="clear" w:color="auto" w:fill="FFFFFF"/>
        </w:rPr>
        <w:t>NR. T1-194</w:t>
      </w:r>
      <w:r>
        <w:rPr>
          <w:rStyle w:val="apple-converted-space"/>
          <w:b/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  <w:shd w:val="clear" w:color="auto" w:fill="FFFFFF"/>
        </w:rPr>
        <w:t>„DĖL ŠILUTĖS RAJONO SAVIVALDYBĖS 2020-2022 M. STRATEGINIO VEIKLOS PLANO PATVIRTINIMO“ PAKEITIMO</w:t>
      </w:r>
    </w:p>
    <w:p w:rsidR="002E22BD" w:rsidRDefault="002E22BD">
      <w:pPr>
        <w:pStyle w:val="Pagrindinistekstas"/>
        <w:spacing w:after="0"/>
        <w:jc w:val="center"/>
        <w:rPr>
          <w:b/>
          <w:sz w:val="24"/>
          <w:szCs w:val="24"/>
        </w:rPr>
      </w:pPr>
    </w:p>
    <w:p w:rsidR="002E22BD" w:rsidRDefault="0027508F">
      <w:pPr>
        <w:jc w:val="center"/>
      </w:pPr>
      <w:r>
        <w:rPr>
          <w:sz w:val="24"/>
          <w:szCs w:val="24"/>
        </w:rPr>
        <w:t>2020 m. gegužės 4 d.</w:t>
      </w:r>
    </w:p>
    <w:p w:rsidR="002E22BD" w:rsidRDefault="002E22BD">
      <w:pPr>
        <w:rPr>
          <w:sz w:val="24"/>
          <w:szCs w:val="24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28"/>
      </w:tblGrid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1. Parengto projekto tikslai ir uždaviniai.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Šiuo sprendimu yra pakeičiamas Šilutės rajono savivaldybės 2020-2022 m. strateginis veiklos planas, patvirtintas Šilutės rajono savivaldybės tarybos 2019 m. gruodžio 19 d. sprendimu Nr. T1-194 „Dėl Šilutės rajono savivaldybės 2020-2022 m. strateginio veiklos plano patvirtinimo“ patikslinant (08) Investicijų pritraukimo ir verslo vystymo programos priemonę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E22BD" w:rsidRDefault="0027508F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(08) 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 xml:space="preserve">Investicijų pritraukimo ir verslo vystymo programoje pakeičiamas priemonės 08.01.01.91 </w:t>
            </w:r>
            <w:r>
              <w:rPr>
                <w:sz w:val="24"/>
                <w:szCs w:val="24"/>
                <w:shd w:val="clear" w:color="auto" w:fill="FFFFFF"/>
              </w:rPr>
              <w:t>„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Tarpsieninio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bendradarbiavimo stiprinimas, kuriant tvarią ilgalaikę plėtrą tarp Klaipėdos ir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Kuržemės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regionų“ pavadinimą į „Regioninis bendradarbiavimas darniam, integruotam ir sumaniam planavimui“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. 2020 m. kovo 13 d. Asociacija „Klaipėdos regionas“ buvo informuotas, kad kartu su partneriu iš Latvijos „</w:t>
            </w:r>
            <w:proofErr w:type="spellStart"/>
            <w:r>
              <w:rPr>
                <w:color w:val="00000A"/>
                <w:sz w:val="24"/>
                <w:szCs w:val="24"/>
                <w:shd w:val="clear" w:color="auto" w:fill="FFFFFF"/>
              </w:rPr>
              <w:t>Kuržemės</w:t>
            </w:r>
            <w:proofErr w:type="spellEnd"/>
            <w:r>
              <w:rPr>
                <w:color w:val="00000A"/>
                <w:sz w:val="24"/>
                <w:szCs w:val="24"/>
                <w:shd w:val="clear" w:color="auto" w:fill="FFFFFF"/>
              </w:rPr>
              <w:t xml:space="preserve"> planavimo regionu“ teikta paraiška buvo patvirtinta, tačiau projekto partneriams būtina atlikti nurodytas paraiškos technines korekcijas. Projekto paraiškos pavadinimas baigiamajame paraiškos etape buvo pakoreguotas. Projekto aprašymas ir numatytos veiklos nesikeičia.</w:t>
            </w:r>
          </w:p>
          <w:p w:rsidR="002E22BD" w:rsidRDefault="002E22BD">
            <w:pPr>
              <w:tabs>
                <w:tab w:val="left" w:pos="1092"/>
                <w:tab w:val="left" w:pos="8441"/>
              </w:tabs>
              <w:ind w:right="-34"/>
              <w:jc w:val="both"/>
              <w:rPr>
                <w:b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2. Kaip šiuo metu yra sureguliuoti projekte aptarti klausimai.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Vadovaujantis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Šilutės rajono savivaldybės strateginio planavimo metodika (2013 m. liepos 25 d. sprendimas Nr. T1-849), 2019 m. gruodžio 19 d. Savivaldybės tarybos sprendimu Nr. T1-194 „Dėl Šilutės rajono savivaldybės 2020-2022 m. strateginio veiklos plano patvirtinimo“, buvo patvirtintas Šilutės rajono savivaldybės 2020-2022 m. strateginis veiklos planas ir padalinių vykdomos programos. </w:t>
            </w:r>
          </w:p>
          <w:p w:rsidR="002E22BD" w:rsidRDefault="002E22BD">
            <w:pPr>
              <w:ind w:firstLine="540"/>
              <w:jc w:val="both"/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3. Kokių pozityvių rezultatų laukiama.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Kadangi atsirado būtinybė keisti esmines SVP nuostatas, t. y. papildyti Šilutės rajono savivaldybės 2020-2022 m. strateginio veiklos plano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(08) Investicijų pritraukimo ir verslo vystymo programą</w:t>
            </w:r>
            <w:r>
              <w:rPr>
                <w:sz w:val="24"/>
                <w:szCs w:val="24"/>
              </w:rPr>
              <w:t>, būtinas Savivaldybės tarybos pritarimas, kaip tai numatyta Šilutės rajono savivaldybės strateginio planavimo metodikoje, patvirtintoje 2013 m. liepos 25 d. Šilutės rajono savivaldybės tarybos sprendimu Nr. T1-849 „Dėl Šilutės rajono savivaldybės strateginio planavimo metodikos patvirtinimo“.</w:t>
            </w:r>
          </w:p>
          <w:p w:rsidR="002E22BD" w:rsidRDefault="0027508F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Tarybai pritarus minėtiems papildymams, Savivaldybės padaliniai galės įgyvendinti strateginius tikslus, kurie numatyti Strateginio veiklos plano programose. </w:t>
            </w:r>
          </w:p>
          <w:p w:rsidR="002E22BD" w:rsidRDefault="002E22BD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4. Galimos neigiamos priimto projekto pasekmės ir kokių priemonių reikėtų imtis, kad tokių pasekmių būtų išvengta.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2E22BD" w:rsidRDefault="002E22BD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2E22BD" w:rsidRDefault="002E22BD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ind w:firstLine="5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Atlikti antikorupcinį vertinimą – netikslinga, nes strateginio veiklos plano priemonę tik numatoma įgyvendinti.</w:t>
            </w:r>
          </w:p>
          <w:p w:rsidR="002E22BD" w:rsidRDefault="002E22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2E22BD" w:rsidRDefault="002E22BD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8. Projekto autorius ar autorių grupė.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Planavimo ir plėtros skyriaus viešojo administravimo institucijos specialistė Aušra Stakvilevičienė</w:t>
            </w:r>
          </w:p>
          <w:p w:rsidR="002E22BD" w:rsidRDefault="002E22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9. Reikšminiai projekto žodžiai, kurių reikia šiam projektui įtraukti į kompiuterinę paieškos sistemą.</w:t>
            </w:r>
          </w:p>
          <w:p w:rsidR="002E22BD" w:rsidRDefault="002E22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Prioritetai, strateginis plėtros planas, veiklos planas</w:t>
            </w:r>
          </w:p>
          <w:p w:rsidR="002E22BD" w:rsidRDefault="002E22BD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10. Kiti, autorių nuomone, reikalingi pagrindimai ir paaiškinimai.</w:t>
            </w:r>
          </w:p>
        </w:tc>
      </w:tr>
      <w:tr w:rsidR="002E22BD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22BD" w:rsidRDefault="002750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</w:t>
            </w:r>
          </w:p>
          <w:p w:rsidR="002E22BD" w:rsidRDefault="002E22B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E22BD" w:rsidRDefault="002E22BD">
      <w:pPr>
        <w:rPr>
          <w:sz w:val="24"/>
          <w:szCs w:val="24"/>
        </w:rPr>
      </w:pPr>
    </w:p>
    <w:p w:rsidR="002E22BD" w:rsidRDefault="002E22BD">
      <w:pPr>
        <w:rPr>
          <w:sz w:val="24"/>
          <w:szCs w:val="24"/>
        </w:rPr>
      </w:pPr>
    </w:p>
    <w:p w:rsidR="002E22BD" w:rsidRDefault="002E22BD">
      <w:pPr>
        <w:rPr>
          <w:sz w:val="24"/>
          <w:szCs w:val="24"/>
        </w:rPr>
      </w:pPr>
    </w:p>
    <w:p w:rsidR="002E22BD" w:rsidRDefault="0027508F">
      <w:pPr>
        <w:rPr>
          <w:sz w:val="24"/>
          <w:szCs w:val="24"/>
        </w:rPr>
      </w:pPr>
      <w:r>
        <w:rPr>
          <w:sz w:val="24"/>
          <w:szCs w:val="24"/>
        </w:rPr>
        <w:t xml:space="preserve">Planavimo ir plėtros skyriaus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Aušra Stakvilevičienė</w:t>
      </w:r>
    </w:p>
    <w:p w:rsidR="002E22BD" w:rsidRDefault="0027508F">
      <w:pPr>
        <w:rPr>
          <w:sz w:val="24"/>
          <w:szCs w:val="24"/>
        </w:rPr>
      </w:pPr>
      <w:r>
        <w:rPr>
          <w:sz w:val="24"/>
          <w:szCs w:val="24"/>
        </w:rPr>
        <w:t>viešojo administravimo institucijos specialistė</w:t>
      </w:r>
    </w:p>
    <w:p w:rsidR="002E22BD" w:rsidRDefault="002E22BD"/>
    <w:sectPr w:rsidR="002E22BD">
      <w:headerReference w:type="default" r:id="rId8"/>
      <w:footerReference w:type="default" r:id="rId9"/>
      <w:footerReference w:type="first" r:id="rId10"/>
      <w:pgSz w:w="11906" w:h="16838"/>
      <w:pgMar w:top="1134" w:right="567" w:bottom="1059" w:left="1701" w:header="567" w:footer="567" w:gutter="0"/>
      <w:cols w:space="1296"/>
      <w:formProt w:val="0"/>
      <w:titlePg/>
      <w:docGrid w:linePitch="21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8F" w:rsidRDefault="0027508F">
      <w:r>
        <w:separator/>
      </w:r>
    </w:p>
  </w:endnote>
  <w:endnote w:type="continuationSeparator" w:id="0">
    <w:p w:rsidR="0056148F" w:rsidRDefault="0027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BD" w:rsidRDefault="002E22B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BD" w:rsidRDefault="0027508F">
    <w:pPr>
      <w:pStyle w:val="Porat"/>
      <w:jc w:val="right"/>
    </w:pPr>
    <w:r>
      <w:fldChar w:fldCharType="begin"/>
    </w:r>
    <w:r>
      <w:instrText>FILENAME \p</w:instrText>
    </w:r>
    <w:r>
      <w:fldChar w:fldCharType="separate"/>
    </w:r>
    <w:r w:rsidR="00383635">
      <w:rPr>
        <w:noProof/>
      </w:rPr>
      <w:t>P:\Tarybos_projektai_2011-2019\2020 metai\Geguzes 28\PPS01sJGBKP.docx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8F" w:rsidRDefault="0027508F">
      <w:r>
        <w:separator/>
      </w:r>
    </w:p>
  </w:footnote>
  <w:footnote w:type="continuationSeparator" w:id="0">
    <w:p w:rsidR="0056148F" w:rsidRDefault="0027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BD" w:rsidRDefault="0027508F">
    <w:pPr>
      <w:pStyle w:val="Antrats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E22BD" w:rsidRDefault="002E22BD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40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uslapinantrat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BD"/>
    <w:rsid w:val="0027508F"/>
    <w:rsid w:val="002E22BD"/>
    <w:rsid w:val="00383635"/>
    <w:rsid w:val="005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BE72-14D8-45E8-B8C9-5D96CB42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9D0"/>
  </w:style>
  <w:style w:type="paragraph" w:styleId="Antrat1">
    <w:name w:val="heading 1"/>
    <w:basedOn w:val="prastasis"/>
    <w:qFormat/>
    <w:rsid w:val="00232361"/>
    <w:pPr>
      <w:keepNext/>
      <w:tabs>
        <w:tab w:val="left" w:pos="-284"/>
      </w:tabs>
      <w:ind w:right="-1050"/>
      <w:jc w:val="both"/>
      <w:outlineLvl w:val="0"/>
    </w:pPr>
    <w:rPr>
      <w:b/>
      <w:sz w:val="28"/>
    </w:rPr>
  </w:style>
  <w:style w:type="paragraph" w:styleId="Antrat2">
    <w:name w:val="heading 2"/>
    <w:basedOn w:val="prastasis"/>
    <w:qFormat/>
    <w:rsid w:val="00EF3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qFormat/>
    <w:rsid w:val="00232361"/>
    <w:pPr>
      <w:keepNext/>
      <w:ind w:right="-1050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qFormat/>
    <w:rsid w:val="000D36BE"/>
  </w:style>
  <w:style w:type="character" w:customStyle="1" w:styleId="FontStyle14">
    <w:name w:val="Font Style14"/>
    <w:qFormat/>
    <w:rsid w:val="00F558E4"/>
    <w:rPr>
      <w:rFonts w:ascii="Times New Roman" w:hAnsi="Times New Roman" w:cs="Times New Roman"/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qFormat/>
    <w:rsid w:val="00337267"/>
    <w:rPr>
      <w:sz w:val="24"/>
      <w:szCs w:val="24"/>
      <w:lang w:val="en-GB" w:eastAsia="en-US" w:bidi="ar-SA"/>
    </w:rPr>
  </w:style>
  <w:style w:type="character" w:customStyle="1" w:styleId="Internetosaitas">
    <w:name w:val="Interneto saitas"/>
    <w:rsid w:val="00CE2705"/>
    <w:rPr>
      <w:color w:val="0000FF"/>
      <w:u w:val="single"/>
    </w:rPr>
  </w:style>
  <w:style w:type="character" w:styleId="Perirtashipersaitas">
    <w:name w:val="FollowedHyperlink"/>
    <w:qFormat/>
    <w:rsid w:val="00241DF2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qFormat/>
    <w:rsid w:val="00EF3FEB"/>
  </w:style>
  <w:style w:type="character" w:customStyle="1" w:styleId="Neapdorotaspaminjimas1">
    <w:name w:val="Neapdorotas paminėjimas1"/>
    <w:uiPriority w:val="99"/>
    <w:semiHidden/>
    <w:unhideWhenUsed/>
    <w:qFormat/>
    <w:rsid w:val="00912106"/>
    <w:rPr>
      <w:color w:val="808080"/>
      <w:shd w:val="clear" w:color="auto" w:fill="E6E6E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Aplankytasinternetosaitas">
    <w:name w:val="Aplankytas interneto saitas"/>
    <w:rPr>
      <w:color w:val="80000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rsid w:val="00337267"/>
    <w:pPr>
      <w:spacing w:after="120"/>
    </w:pPr>
    <w:rPr>
      <w:lang w:eastAsia="en-US"/>
    </w:r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semiHidden/>
    <w:qFormat/>
    <w:rsid w:val="007678DA"/>
    <w:rPr>
      <w:rFonts w:ascii="Tahoma" w:hAnsi="Tahoma" w:cs="Tahoma"/>
      <w:sz w:val="16"/>
      <w:szCs w:val="16"/>
    </w:rPr>
  </w:style>
  <w:style w:type="paragraph" w:styleId="Tekstoblokas">
    <w:name w:val="Block Text"/>
    <w:basedOn w:val="prastasis"/>
    <w:qFormat/>
    <w:rsid w:val="00A65FA7"/>
    <w:pPr>
      <w:tabs>
        <w:tab w:val="left" w:pos="9498"/>
      </w:tabs>
      <w:ind w:left="-567" w:right="282"/>
      <w:jc w:val="both"/>
    </w:pPr>
    <w:rPr>
      <w:sz w:val="24"/>
    </w:rPr>
  </w:style>
  <w:style w:type="paragraph" w:styleId="Antrats">
    <w:name w:val="header"/>
    <w:basedOn w:val="prastasis"/>
    <w:rsid w:val="000D36B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D6B9A"/>
    <w:pPr>
      <w:tabs>
        <w:tab w:val="center" w:pos="4819"/>
        <w:tab w:val="right" w:pos="9638"/>
      </w:tabs>
    </w:pPr>
  </w:style>
  <w:style w:type="paragraph" w:customStyle="1" w:styleId="Style8">
    <w:name w:val="Style8"/>
    <w:basedOn w:val="prastasis"/>
    <w:qFormat/>
    <w:rsid w:val="00F558E4"/>
    <w:pPr>
      <w:widowControl w:val="0"/>
      <w:spacing w:line="274" w:lineRule="exact"/>
      <w:ind w:firstLine="1507"/>
    </w:pPr>
    <w:rPr>
      <w:sz w:val="24"/>
      <w:szCs w:val="24"/>
      <w:lang w:val="en-US" w:eastAsia="en-US"/>
    </w:rPr>
  </w:style>
  <w:style w:type="paragraph" w:customStyle="1" w:styleId="Style9">
    <w:name w:val="Style9"/>
    <w:basedOn w:val="prastasis"/>
    <w:qFormat/>
    <w:rsid w:val="00F558E4"/>
    <w:pPr>
      <w:widowControl w:val="0"/>
      <w:spacing w:line="274" w:lineRule="exact"/>
      <w:jc w:val="both"/>
    </w:pPr>
    <w:rPr>
      <w:sz w:val="24"/>
      <w:szCs w:val="24"/>
      <w:lang w:val="en-US" w:eastAsia="en-US"/>
    </w:rPr>
  </w:style>
  <w:style w:type="paragraph" w:styleId="prastasiniatinklio">
    <w:name w:val="Normal (Web)"/>
    <w:basedOn w:val="prastasis"/>
    <w:qFormat/>
    <w:rsid w:val="002C2E38"/>
    <w:pPr>
      <w:spacing w:beforeAutospacing="1" w:afterAutospacing="1"/>
    </w:pPr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33726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bodytext">
    <w:name w:val="bodytext"/>
    <w:basedOn w:val="prastasis"/>
    <w:qFormat/>
    <w:rsid w:val="007114EE"/>
    <w:pPr>
      <w:spacing w:beforeAutospacing="1" w:afterAutospacing="1"/>
    </w:pPr>
    <w:rPr>
      <w:sz w:val="24"/>
      <w:szCs w:val="24"/>
    </w:rPr>
  </w:style>
  <w:style w:type="paragraph" w:styleId="Pavadinimas">
    <w:name w:val="Title"/>
    <w:basedOn w:val="prastasis"/>
    <w:qFormat/>
    <w:rsid w:val="00AB4C2A"/>
    <w:pPr>
      <w:tabs>
        <w:tab w:val="left" w:pos="0"/>
      </w:tabs>
      <w:jc w:val="center"/>
    </w:pPr>
    <w:rPr>
      <w:b/>
      <w:bCs/>
      <w:sz w:val="24"/>
      <w:szCs w:val="24"/>
      <w:lang w:eastAsia="en-US"/>
    </w:rPr>
  </w:style>
  <w:style w:type="paragraph" w:customStyle="1" w:styleId="Default">
    <w:name w:val="Default"/>
    <w:qFormat/>
    <w:rsid w:val="00263F11"/>
    <w:rPr>
      <w:color w:val="000000"/>
      <w:sz w:val="24"/>
      <w:szCs w:val="24"/>
      <w:lang w:val="en-US" w:eastAsia="en-US"/>
    </w:rPr>
  </w:style>
  <w:style w:type="paragraph" w:customStyle="1" w:styleId="Sraopastraipa1">
    <w:name w:val="Sąrašo pastraipa1"/>
    <w:basedOn w:val="prastasis"/>
    <w:qFormat/>
    <w:rsid w:val="00823E08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taisymai">
    <w:name w:val="Revision"/>
    <w:uiPriority w:val="99"/>
    <w:semiHidden/>
    <w:qFormat/>
    <w:rsid w:val="00D865C5"/>
  </w:style>
  <w:style w:type="paragraph" w:styleId="Sraopastraipa">
    <w:name w:val="List Paragraph"/>
    <w:basedOn w:val="prastasis"/>
    <w:uiPriority w:val="34"/>
    <w:qFormat/>
    <w:rsid w:val="002003C3"/>
    <w:pPr>
      <w:ind w:left="720"/>
      <w:contextualSpacing/>
    </w:pPr>
  </w:style>
  <w:style w:type="paragraph" w:customStyle="1" w:styleId="Kadroturinys">
    <w:name w:val="Kadro turinys"/>
    <w:basedOn w:val="prastasis"/>
    <w:qFormat/>
  </w:style>
  <w:style w:type="table" w:styleId="Lentelstinklelis">
    <w:name w:val="Table Grid"/>
    <w:basedOn w:val="prastojilentel"/>
    <w:rsid w:val="009A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P:/Tarybos_projektai_2011-2019/2020%20metai/Geguzes%2028/PPS01p(8)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9D34-F9D8-4017-AFBB-8115E7DC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Silutes sav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PLETRA_IP</dc:creator>
  <dc:description/>
  <cp:lastModifiedBy>Pletra_AS</cp:lastModifiedBy>
  <cp:revision>38</cp:revision>
  <cp:lastPrinted>2020-05-06T13:05:00Z</cp:lastPrinted>
  <dcterms:created xsi:type="dcterms:W3CDTF">2018-05-21T10:19:00Z</dcterms:created>
  <dcterms:modified xsi:type="dcterms:W3CDTF">2020-05-06T13:08:00Z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Silutes sav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