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F29" w:rsidRDefault="00F86E8F">
      <w:pPr>
        <w:jc w:val="center"/>
        <w:rPr>
          <w:rFonts w:ascii="Times New Roman" w:hAnsi="Times New Roman" w:cs="Times New Roman"/>
          <w:b/>
        </w:rPr>
      </w:pPr>
      <w:bookmarkStart w:id="0" w:name="_GoBack"/>
      <w:bookmarkEnd w:id="0"/>
      <w:r>
        <w:rPr>
          <w:rFonts w:ascii="Times New Roman" w:hAnsi="Times New Roman" w:cs="Times New Roman"/>
          <w:b/>
        </w:rPr>
        <w:t xml:space="preserve">ŠILUTĖS RAJONO SAVIVALDYBĖS </w:t>
      </w:r>
    </w:p>
    <w:p w:rsidR="00C17F29" w:rsidRDefault="00F86E8F">
      <w:pPr>
        <w:jc w:val="center"/>
        <w:rPr>
          <w:rFonts w:ascii="Times New Roman" w:hAnsi="Times New Roman" w:cs="Times New Roman"/>
          <w:b/>
        </w:rPr>
      </w:pPr>
      <w:r>
        <w:rPr>
          <w:rFonts w:ascii="Times New Roman" w:hAnsi="Times New Roman" w:cs="Times New Roman"/>
          <w:b/>
        </w:rPr>
        <w:t>TARYBA</w:t>
      </w:r>
    </w:p>
    <w:p w:rsidR="00C17F29" w:rsidRDefault="00C17F29">
      <w:pPr>
        <w:rPr>
          <w:rFonts w:ascii="Times New Roman" w:hAnsi="Times New Roman" w:cs="Times New Roman"/>
          <w:b/>
        </w:rPr>
      </w:pPr>
    </w:p>
    <w:p w:rsidR="00C17F29" w:rsidRDefault="00F86E8F">
      <w:pPr>
        <w:spacing w:after="120"/>
        <w:jc w:val="center"/>
        <w:rPr>
          <w:rFonts w:ascii="Times New Roman" w:hAnsi="Times New Roman" w:cs="Times New Roman"/>
          <w:b/>
        </w:rPr>
      </w:pPr>
      <w:r>
        <w:rPr>
          <w:rFonts w:ascii="Times New Roman" w:hAnsi="Times New Roman" w:cs="Times New Roman"/>
          <w:b/>
        </w:rPr>
        <w:t>SPRENDIMAS</w:t>
      </w:r>
    </w:p>
    <w:p w:rsidR="00C17F29" w:rsidRDefault="00F86E8F">
      <w:pPr>
        <w:jc w:val="center"/>
      </w:pPr>
      <w:bookmarkStart w:id="1" w:name="__DdeLink__979_2358123375"/>
      <w:r>
        <w:rPr>
          <w:b/>
          <w:caps/>
        </w:rPr>
        <w:t>DĖL PRITARIMO DALYVAUTI  2014-2020 METŲ INTERREG v-A LIETUVOS IR LATVIJOS  BENDRADARBIAVIMO PER SIENĄ PROGRAMOS PROJEKTE „Švėkšnos IR SALDUS MIESTŲ KULTŪROS PAVELDO OBJEKTŲ pritaikymas turistiniams bei kultūriniams poreikiams“ („</w:t>
      </w:r>
      <w:r>
        <w:rPr>
          <w:rFonts w:ascii="Times New Roman" w:hAnsi="Times New Roman"/>
          <w:b/>
          <w:bCs/>
          <w:color w:val="212121"/>
          <w:lang w:val="en-US"/>
        </w:rPr>
        <w:t>ADAPTATION  OF CULTURAL HERITAGE OBJECTS TO TOURIST AND CULTURAL NEEDS IN SVEKSNA AND SALDUS TOWNS” (SVEKSNA-SALDUS ACHO)</w:t>
      </w:r>
      <w:bookmarkEnd w:id="1"/>
      <w:r>
        <w:rPr>
          <w:rFonts w:ascii="Times New Roman" w:hAnsi="Times New Roman"/>
          <w:b/>
          <w:bCs/>
          <w:color w:val="212121"/>
          <w:lang w:val="en-US"/>
        </w:rPr>
        <w:t>)</w:t>
      </w:r>
    </w:p>
    <w:p w:rsidR="00C17F29" w:rsidRDefault="00C17F29">
      <w:pPr>
        <w:jc w:val="center"/>
        <w:rPr>
          <w:rFonts w:ascii="Times New Roman" w:hAnsi="Times New Roman" w:cs="Times New Roman"/>
          <w:b/>
          <w:caps/>
        </w:rPr>
      </w:pPr>
    </w:p>
    <w:p w:rsidR="00C17F29" w:rsidRDefault="00F86E8F">
      <w:pPr>
        <w:jc w:val="center"/>
      </w:pPr>
      <w:r>
        <w:rPr>
          <w:rFonts w:ascii="Times New Roman" w:hAnsi="Times New Roman" w:cs="Times New Roman"/>
          <w:bCs/>
        </w:rPr>
        <w:t xml:space="preserve">2019 m. birželio   d. Nr. T1- </w:t>
      </w:r>
    </w:p>
    <w:p w:rsidR="00C17F29" w:rsidRDefault="00F86E8F">
      <w:pPr>
        <w:jc w:val="center"/>
        <w:rPr>
          <w:rFonts w:ascii="Times New Roman" w:hAnsi="Times New Roman" w:cs="Times New Roman"/>
          <w:bCs/>
        </w:rPr>
      </w:pPr>
      <w:r>
        <w:rPr>
          <w:rFonts w:ascii="Times New Roman" w:hAnsi="Times New Roman" w:cs="Times New Roman"/>
          <w:bCs/>
        </w:rPr>
        <w:t>Šilutė</w:t>
      </w:r>
    </w:p>
    <w:p w:rsidR="00C17F29" w:rsidRDefault="00C17F29">
      <w:pPr>
        <w:jc w:val="center"/>
        <w:rPr>
          <w:rFonts w:ascii="Times New Roman" w:hAnsi="Times New Roman" w:cs="Times New Roman"/>
          <w:bCs/>
        </w:rPr>
      </w:pPr>
    </w:p>
    <w:p w:rsidR="00C17F29" w:rsidRDefault="00F86E8F">
      <w:pPr>
        <w:tabs>
          <w:tab w:val="left" w:pos="10440"/>
        </w:tabs>
        <w:ind w:firstLine="720"/>
        <w:jc w:val="both"/>
      </w:pPr>
      <w:r>
        <w:t xml:space="preserve">Vadovaudamasi Lietuvos Respublikos vietos savivaldos įstatymo 6 straipsnio 28 punktu, 16 straipsnio 2 dalies 30 punktu, Šilutės rajono savivaldybės taryba </w:t>
      </w:r>
      <w:r>
        <w:rPr>
          <w:color w:val="000000"/>
        </w:rPr>
        <w:t>n u s p r e n d ž i a</w:t>
      </w:r>
      <w:r>
        <w:rPr>
          <w:color w:val="000000"/>
          <w:lang w:eastAsia="lt-LT"/>
        </w:rPr>
        <w:t>:</w:t>
      </w:r>
    </w:p>
    <w:p w:rsidR="00C17F29" w:rsidRDefault="00F86E8F">
      <w:pPr>
        <w:numPr>
          <w:ilvl w:val="0"/>
          <w:numId w:val="2"/>
        </w:numPr>
        <w:ind w:left="0" w:firstLine="851"/>
        <w:jc w:val="both"/>
      </w:pPr>
      <w:r>
        <w:rPr>
          <w:spacing w:val="-6"/>
        </w:rPr>
        <w:t>Pritarti projekto „Švėkšnos ir Saldus miestų kultūros paveldo objektų pritaikymas turistiniams bei kultūriniams poreikiams“ įgyvendinimui pagrindinio partnerio teisėmis;</w:t>
      </w:r>
    </w:p>
    <w:p w:rsidR="00C17F29" w:rsidRDefault="00F86E8F">
      <w:pPr>
        <w:widowControl/>
        <w:numPr>
          <w:ilvl w:val="0"/>
          <w:numId w:val="2"/>
        </w:numPr>
        <w:tabs>
          <w:tab w:val="left" w:pos="780"/>
        </w:tabs>
        <w:suppressAutoHyphens w:val="0"/>
        <w:ind w:left="0" w:firstLine="850"/>
        <w:jc w:val="both"/>
      </w:pPr>
      <w:r>
        <w:rPr>
          <w:spacing w:val="-6"/>
        </w:rPr>
        <w:t xml:space="preserve">Šilutės rajono savivaldybės administracija pagal 2014-2020 m. INTERREG V-A Lietuvos ir Latvijos bendradarbiavimo per sieną programą įsipareigoja prisidėti prie projekto finansavimo iš biudžeto ne mažiau kaip 15 proc. visų tinkamų finansuoti projekto partnerio išlaidų, susijusių su Šilutės rajono savivaldybės administracijos, kaip partnerio, dalimi, bei užtikrinti netinkamų finansuoti, tačiau šiam projektui įgyvendinti būtinų projekto partnerio išlaidų padengimą, ir tinkamų finansuoti išlaidų dalies, kurios nepadengia projekto partneriui skiriama parama, finansavimą. </w:t>
      </w:r>
    </w:p>
    <w:p w:rsidR="00C17F29" w:rsidRDefault="00F86E8F">
      <w:pPr>
        <w:numPr>
          <w:ilvl w:val="0"/>
          <w:numId w:val="2"/>
        </w:numPr>
        <w:tabs>
          <w:tab w:val="left" w:pos="735"/>
          <w:tab w:val="left" w:pos="780"/>
        </w:tabs>
        <w:ind w:left="0" w:firstLine="794"/>
        <w:jc w:val="both"/>
      </w:pPr>
      <w:r>
        <w:rPr>
          <w:rFonts w:ascii="Times New Roman" w:hAnsi="Times New Roman"/>
          <w:spacing w:val="-6"/>
        </w:rPr>
        <w:t xml:space="preserve">Įgalioti </w:t>
      </w:r>
      <w:r>
        <w:rPr>
          <w:rFonts w:ascii="Times New Roman" w:hAnsi="Times New Roman"/>
          <w:color w:val="000000"/>
          <w:spacing w:val="-6"/>
          <w:shd w:val="clear" w:color="auto" w:fill="FFFFFF"/>
        </w:rPr>
        <w:t xml:space="preserve">Administracijos direktorių </w:t>
      </w:r>
      <w:r>
        <w:rPr>
          <w:rFonts w:ascii="Times New Roman" w:hAnsi="Times New Roman"/>
          <w:spacing w:val="-6"/>
        </w:rPr>
        <w:t xml:space="preserve">Virgilijų Pozingį, o tarnybinių komandiruočių, atostogų, ligos ar kitais atvejais, kai jis negali eiti pareigų, Savivaldybės administracijos direktoriaus pavaduotoją  </w:t>
      </w:r>
      <w:r>
        <w:rPr>
          <w:spacing w:val="-6"/>
        </w:rPr>
        <w:t>pasirašyti su Saldus miesto savivaldybės administracija jungtinės veiklos (partnerystės) sutartį dėl projekto „Švėkšnos ir Saldus miestų kultūros paveldo objektų pritaikymas turistiniams bei kultūriniams poreikiams“ įgyvendinimo bei kitus su šiuo projektu susijusius dokumentus.</w:t>
      </w:r>
    </w:p>
    <w:p w:rsidR="00C17F29" w:rsidRDefault="00C17F29">
      <w:pPr>
        <w:widowControl/>
        <w:tabs>
          <w:tab w:val="left" w:pos="780"/>
        </w:tabs>
        <w:suppressAutoHyphens w:val="0"/>
        <w:ind w:left="720"/>
        <w:jc w:val="both"/>
        <w:rPr>
          <w:spacing w:val="-6"/>
        </w:rPr>
      </w:pPr>
    </w:p>
    <w:p w:rsidR="00C17F29" w:rsidRDefault="00F86E8F">
      <w:pPr>
        <w:pStyle w:val="p0"/>
        <w:ind w:firstLine="850"/>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17F29" w:rsidRDefault="00C17F29">
      <w:pPr>
        <w:pStyle w:val="p0"/>
      </w:pPr>
    </w:p>
    <w:p w:rsidR="00C17F29" w:rsidRDefault="00C17F29">
      <w:pPr>
        <w:tabs>
          <w:tab w:val="left" w:pos="0"/>
        </w:tabs>
        <w:jc w:val="both"/>
        <w:rPr>
          <w:rFonts w:ascii="Times New Roman" w:hAnsi="Times New Roman" w:cs="Times New Roman"/>
          <w:bCs/>
          <w:iCs/>
        </w:rPr>
      </w:pPr>
    </w:p>
    <w:p w:rsidR="00C17F29" w:rsidRDefault="00F86E8F">
      <w:pPr>
        <w:tabs>
          <w:tab w:val="right" w:pos="9638"/>
        </w:tabs>
      </w:pPr>
      <w:r>
        <w:rPr>
          <w:rFonts w:ascii="Times New Roman" w:hAnsi="Times New Roman" w:cs="Times New Roman"/>
          <w:bCs/>
          <w:iCs/>
        </w:rPr>
        <w:t xml:space="preserve">Savivaldybės meras                                                                                            </w:t>
      </w:r>
      <w:r>
        <w:rPr>
          <w:rFonts w:ascii="Times New Roman" w:hAnsi="Times New Roman" w:cs="Times New Roman"/>
          <w:bCs/>
          <w:iCs/>
        </w:rPr>
        <w:tab/>
      </w:r>
    </w:p>
    <w:p w:rsidR="00C17F29" w:rsidRDefault="00C17F29">
      <w:pPr>
        <w:tabs>
          <w:tab w:val="right" w:pos="9638"/>
        </w:tabs>
        <w:jc w:val="center"/>
        <w:rPr>
          <w:rFonts w:ascii="Times New Roman" w:hAnsi="Times New Roman" w:cs="Times New Roman"/>
          <w:bCs/>
          <w:iCs/>
        </w:rPr>
      </w:pPr>
    </w:p>
    <w:tbl>
      <w:tblPr>
        <w:tblW w:w="9854" w:type="dxa"/>
        <w:tblInd w:w="-109" w:type="dxa"/>
        <w:tblLook w:val="0000" w:firstRow="0" w:lastRow="0" w:firstColumn="0" w:lastColumn="0" w:noHBand="0" w:noVBand="0"/>
      </w:tblPr>
      <w:tblGrid>
        <w:gridCol w:w="3287"/>
        <w:gridCol w:w="1641"/>
        <w:gridCol w:w="1642"/>
        <w:gridCol w:w="3284"/>
      </w:tblGrid>
      <w:tr w:rsidR="00C17F29">
        <w:tc>
          <w:tcPr>
            <w:tcW w:w="3286" w:type="dxa"/>
            <w:shd w:val="clear" w:color="auto" w:fill="auto"/>
          </w:tcPr>
          <w:p w:rsidR="00C17F29" w:rsidRDefault="00F86E8F">
            <w:r>
              <w:t>Virgilijus Pozingis</w:t>
            </w:r>
          </w:p>
        </w:tc>
        <w:tc>
          <w:tcPr>
            <w:tcW w:w="1641" w:type="dxa"/>
            <w:shd w:val="clear" w:color="auto" w:fill="auto"/>
          </w:tcPr>
          <w:p w:rsidR="00C17F29" w:rsidRDefault="00F86E8F">
            <w:r>
              <w:rPr>
                <w:color w:val="000000"/>
              </w:rPr>
              <w:t>Asta Jagelavičienė</w:t>
            </w:r>
          </w:p>
        </w:tc>
        <w:tc>
          <w:tcPr>
            <w:tcW w:w="1642" w:type="dxa"/>
            <w:shd w:val="clear" w:color="auto" w:fill="auto"/>
          </w:tcPr>
          <w:p w:rsidR="00C17F29" w:rsidRDefault="00F86E8F">
            <w:pPr>
              <w:rPr>
                <w:color w:val="000000"/>
              </w:rPr>
            </w:pPr>
            <w:r>
              <w:rPr>
                <w:color w:val="000000"/>
              </w:rPr>
              <w:t>Arvydas Bielskis</w:t>
            </w:r>
          </w:p>
        </w:tc>
        <w:tc>
          <w:tcPr>
            <w:tcW w:w="3284" w:type="dxa"/>
            <w:shd w:val="clear" w:color="auto" w:fill="auto"/>
          </w:tcPr>
          <w:p w:rsidR="00C17F29" w:rsidRDefault="00F86E8F">
            <w:pPr>
              <w:rPr>
                <w:lang w:val="sv-SE"/>
              </w:rPr>
            </w:pPr>
            <w:r>
              <w:rPr>
                <w:lang w:val="sv-SE"/>
              </w:rPr>
              <w:t>Vita Stulgienė</w:t>
            </w:r>
          </w:p>
        </w:tc>
      </w:tr>
      <w:tr w:rsidR="00C17F29">
        <w:tc>
          <w:tcPr>
            <w:tcW w:w="3286" w:type="dxa"/>
            <w:shd w:val="clear" w:color="auto" w:fill="auto"/>
          </w:tcPr>
          <w:p w:rsidR="00C17F29" w:rsidRDefault="00C17F29">
            <w:pPr>
              <w:snapToGrid w:val="0"/>
            </w:pPr>
          </w:p>
        </w:tc>
        <w:tc>
          <w:tcPr>
            <w:tcW w:w="1641" w:type="dxa"/>
            <w:shd w:val="clear" w:color="auto" w:fill="auto"/>
          </w:tcPr>
          <w:p w:rsidR="00C17F29" w:rsidRDefault="00C17F29">
            <w:pPr>
              <w:snapToGrid w:val="0"/>
              <w:rPr>
                <w:color w:val="000000"/>
              </w:rPr>
            </w:pPr>
          </w:p>
          <w:p w:rsidR="00C17F29" w:rsidRDefault="00C17F29">
            <w:pPr>
              <w:rPr>
                <w:color w:val="000000"/>
              </w:rPr>
            </w:pPr>
          </w:p>
        </w:tc>
        <w:tc>
          <w:tcPr>
            <w:tcW w:w="1642" w:type="dxa"/>
            <w:shd w:val="clear" w:color="auto" w:fill="auto"/>
          </w:tcPr>
          <w:p w:rsidR="00C17F29" w:rsidRDefault="00C17F29">
            <w:pPr>
              <w:snapToGrid w:val="0"/>
              <w:rPr>
                <w:color w:val="000000"/>
              </w:rPr>
            </w:pPr>
          </w:p>
        </w:tc>
        <w:tc>
          <w:tcPr>
            <w:tcW w:w="3284" w:type="dxa"/>
            <w:shd w:val="clear" w:color="auto" w:fill="auto"/>
          </w:tcPr>
          <w:p w:rsidR="00C17F29" w:rsidRDefault="00C17F29">
            <w:pPr>
              <w:snapToGrid w:val="0"/>
              <w:rPr>
                <w:color w:val="000000"/>
                <w:lang w:val="sv-SE"/>
              </w:rPr>
            </w:pPr>
          </w:p>
        </w:tc>
      </w:tr>
      <w:tr w:rsidR="00C17F29">
        <w:trPr>
          <w:trHeight w:val="525"/>
        </w:trPr>
        <w:tc>
          <w:tcPr>
            <w:tcW w:w="3286" w:type="dxa"/>
            <w:shd w:val="clear" w:color="auto" w:fill="auto"/>
          </w:tcPr>
          <w:p w:rsidR="00C17F29" w:rsidRDefault="00F86E8F">
            <w:r>
              <w:rPr>
                <w:lang w:val="sv-SE"/>
              </w:rPr>
              <w:t>2019-06-</w:t>
            </w:r>
          </w:p>
        </w:tc>
        <w:tc>
          <w:tcPr>
            <w:tcW w:w="1641" w:type="dxa"/>
            <w:shd w:val="clear" w:color="auto" w:fill="auto"/>
          </w:tcPr>
          <w:p w:rsidR="00C17F29" w:rsidRDefault="00F86E8F">
            <w:r>
              <w:rPr>
                <w:lang w:val="sv-SE"/>
              </w:rPr>
              <w:t>2019-06-13</w:t>
            </w:r>
          </w:p>
        </w:tc>
        <w:tc>
          <w:tcPr>
            <w:tcW w:w="1642" w:type="dxa"/>
            <w:shd w:val="clear" w:color="auto" w:fill="auto"/>
          </w:tcPr>
          <w:p w:rsidR="00C17F29" w:rsidRDefault="00F86E8F">
            <w:pPr>
              <w:jc w:val="both"/>
            </w:pPr>
            <w:r>
              <w:rPr>
                <w:color w:val="000000"/>
              </w:rPr>
              <w:t>2019-06-</w:t>
            </w:r>
            <w:r w:rsidR="00986EC2">
              <w:rPr>
                <w:color w:val="000000"/>
              </w:rPr>
              <w:t>13</w:t>
            </w:r>
          </w:p>
        </w:tc>
        <w:tc>
          <w:tcPr>
            <w:tcW w:w="3284" w:type="dxa"/>
            <w:shd w:val="clear" w:color="auto" w:fill="auto"/>
          </w:tcPr>
          <w:p w:rsidR="00C17F29" w:rsidRDefault="00F86E8F">
            <w:r>
              <w:rPr>
                <w:color w:val="000000"/>
              </w:rPr>
              <w:t>2019-06-13</w:t>
            </w:r>
          </w:p>
        </w:tc>
      </w:tr>
    </w:tbl>
    <w:p w:rsidR="00C17F29" w:rsidRDefault="00C17F29">
      <w:pPr>
        <w:rPr>
          <w:rFonts w:ascii="Times New Roman" w:hAnsi="Times New Roman" w:cs="Times New Roman"/>
        </w:rPr>
      </w:pPr>
    </w:p>
    <w:p w:rsidR="00C17F29" w:rsidRDefault="00C17F29">
      <w:pPr>
        <w:rPr>
          <w:rFonts w:ascii="Times New Roman" w:hAnsi="Times New Roman" w:cs="Times New Roman"/>
        </w:rPr>
      </w:pPr>
    </w:p>
    <w:p w:rsidR="00C17F29" w:rsidRDefault="00C17F29">
      <w:pPr>
        <w:rPr>
          <w:rFonts w:ascii="Times New Roman" w:hAnsi="Times New Roman" w:cs="Times New Roman"/>
        </w:rPr>
      </w:pPr>
    </w:p>
    <w:p w:rsidR="00C17F29" w:rsidRDefault="00F86E8F">
      <w:pPr>
        <w:rPr>
          <w:rFonts w:ascii="Times New Roman" w:hAnsi="Times New Roman" w:cs="Times New Roman"/>
        </w:rPr>
      </w:pPr>
      <w:r>
        <w:rPr>
          <w:rFonts w:ascii="Times New Roman" w:hAnsi="Times New Roman" w:cs="Times New Roman"/>
        </w:rPr>
        <w:t xml:space="preserve">Parengė </w:t>
      </w:r>
    </w:p>
    <w:p w:rsidR="00C17F29" w:rsidRDefault="00C17F29">
      <w:pPr>
        <w:rPr>
          <w:rFonts w:ascii="Times New Roman" w:hAnsi="Times New Roman" w:cs="Times New Roman"/>
        </w:rPr>
      </w:pPr>
    </w:p>
    <w:p w:rsidR="00C17F29" w:rsidRDefault="00F86E8F">
      <w:pPr>
        <w:rPr>
          <w:rFonts w:ascii="Times New Roman" w:hAnsi="Times New Roman" w:cs="Times New Roman"/>
        </w:rPr>
      </w:pPr>
      <w:r>
        <w:rPr>
          <w:rFonts w:ascii="Times New Roman" w:hAnsi="Times New Roman" w:cs="Times New Roman"/>
        </w:rPr>
        <w:t xml:space="preserve">Simona </w:t>
      </w:r>
      <w:proofErr w:type="spellStart"/>
      <w:r>
        <w:rPr>
          <w:rFonts w:ascii="Times New Roman" w:hAnsi="Times New Roman" w:cs="Times New Roman"/>
        </w:rPr>
        <w:t>Bokštaitė-Dryžienė</w:t>
      </w:r>
      <w:proofErr w:type="spellEnd"/>
    </w:p>
    <w:p w:rsidR="00C17F29" w:rsidRDefault="00F86E8F">
      <w:pPr>
        <w:rPr>
          <w:rFonts w:ascii="Times New Roman" w:hAnsi="Times New Roman" w:cs="Times New Roman"/>
        </w:rPr>
      </w:pPr>
      <w:r>
        <w:rPr>
          <w:rFonts w:ascii="Times New Roman" w:hAnsi="Times New Roman" w:cs="Times New Roman"/>
        </w:rPr>
        <w:lastRenderedPageBreak/>
        <w:t>2019-06-13</w:t>
      </w:r>
    </w:p>
    <w:p w:rsidR="00C17F29" w:rsidRDefault="00C17F29">
      <w:pPr>
        <w:rPr>
          <w:rFonts w:ascii="Times New Roman" w:hAnsi="Times New Roman" w:cs="Times New Roman"/>
        </w:rPr>
      </w:pPr>
    </w:p>
    <w:p w:rsidR="00C17F29" w:rsidRDefault="00F86E8F">
      <w:pPr>
        <w:jc w:val="center"/>
        <w:rPr>
          <w:b/>
        </w:rPr>
      </w:pPr>
      <w:r>
        <w:rPr>
          <w:b/>
        </w:rPr>
        <w:t>ŠILUTĖS RAJONO SAVIVALDYBĖS ADMINISTRACIJOS</w:t>
      </w:r>
    </w:p>
    <w:p w:rsidR="00C17F29" w:rsidRDefault="00F86E8F">
      <w:pPr>
        <w:pStyle w:val="Antrat10"/>
        <w:rPr>
          <w:caps/>
        </w:rPr>
      </w:pPr>
      <w:r>
        <w:rPr>
          <w:caps/>
        </w:rPr>
        <w:t xml:space="preserve">PLANAVIMO IR PLĖTROS SKYRIUS                                                                                                                      </w:t>
      </w:r>
    </w:p>
    <w:p w:rsidR="00C17F29" w:rsidRDefault="00C17F29">
      <w:pPr>
        <w:pStyle w:val="Antrat10"/>
        <w:rPr>
          <w:caps/>
        </w:rPr>
      </w:pPr>
    </w:p>
    <w:p w:rsidR="00C17F29" w:rsidRDefault="00F86E8F">
      <w:pPr>
        <w:pStyle w:val="Pagrindinistekstas"/>
        <w:jc w:val="center"/>
        <w:rPr>
          <w:b/>
          <w:bCs/>
          <w:sz w:val="24"/>
          <w:szCs w:val="24"/>
        </w:rPr>
      </w:pPr>
      <w:r>
        <w:rPr>
          <w:b/>
          <w:bCs/>
          <w:sz w:val="24"/>
          <w:szCs w:val="24"/>
        </w:rPr>
        <w:t>AIŠKINAMASIS RAŠTAS</w:t>
      </w:r>
    </w:p>
    <w:p w:rsidR="00C17F29" w:rsidRDefault="00F86E8F">
      <w:pPr>
        <w:jc w:val="center"/>
      </w:pPr>
      <w:r>
        <w:rPr>
          <w:b/>
          <w:caps/>
        </w:rPr>
        <w:t>DĖL TARYBOS SPRENDIMO „DĖL PRITARIMO DALYVAUTI  2014-2020 METŲ INTERREG v-A LIETUVOS IR LATVIJOS  BENDRADARBIAVIMO PER SIENĄ PROGRAMOS PROJEKTE „ŠVĖKŠNOS IR SALDUS MIESTŲ KULTŪROS PAVELDO OBJEKTŲ pritaikymas turistiniams bei kultūriniams poreikiams“ („</w:t>
      </w:r>
      <w:r>
        <w:rPr>
          <w:rFonts w:ascii="Times New Roman" w:hAnsi="Times New Roman"/>
          <w:b/>
          <w:bCs/>
          <w:caps/>
          <w:color w:val="212121"/>
          <w:lang w:val="en-US"/>
        </w:rPr>
        <w:t>ADAPTATION  OF CULTURAL HERITAGE OBJECTS TO TOURIST AND CULTURAL NEEDS IN SVEKSNA AND SALDUS TOWNS” (SVEKSNA-SALDUS ACHO))”</w:t>
      </w:r>
    </w:p>
    <w:p w:rsidR="00C17F29" w:rsidRDefault="00C17F29">
      <w:pPr>
        <w:jc w:val="center"/>
        <w:rPr>
          <w:b/>
          <w:caps/>
        </w:rPr>
      </w:pPr>
    </w:p>
    <w:p w:rsidR="00C17F29" w:rsidRDefault="00C17F29">
      <w:pPr>
        <w:jc w:val="center"/>
        <w:rPr>
          <w:b/>
          <w:caps/>
        </w:rPr>
      </w:pPr>
    </w:p>
    <w:p w:rsidR="00C17F29" w:rsidRDefault="00F86E8F">
      <w:pPr>
        <w:jc w:val="center"/>
      </w:pPr>
      <w:r>
        <w:rPr>
          <w:color w:val="000000"/>
        </w:rPr>
        <w:t>2019 m. birželio 13  d.</w:t>
      </w:r>
    </w:p>
    <w:p w:rsidR="00C17F29" w:rsidRDefault="00F86E8F">
      <w:pPr>
        <w:jc w:val="center"/>
        <w:rPr>
          <w:color w:val="000000"/>
        </w:rPr>
      </w:pPr>
      <w:r>
        <w:rPr>
          <w:color w:val="000000"/>
        </w:rPr>
        <w:t>Šilutė</w:t>
      </w:r>
    </w:p>
    <w:p w:rsidR="00C17F29" w:rsidRDefault="00C17F29">
      <w:pPr>
        <w:tabs>
          <w:tab w:val="left" w:pos="567"/>
        </w:tabs>
        <w:rPr>
          <w:sz w:val="16"/>
          <w:szCs w:val="16"/>
        </w:rPr>
      </w:pPr>
    </w:p>
    <w:p w:rsidR="00C17F29" w:rsidRDefault="00C17F29">
      <w:pPr>
        <w:tabs>
          <w:tab w:val="left" w:pos="567"/>
        </w:tabs>
        <w:rPr>
          <w:sz w:val="16"/>
          <w:szCs w:val="16"/>
        </w:rPr>
      </w:pPr>
    </w:p>
    <w:tbl>
      <w:tblPr>
        <w:tblW w:w="9948" w:type="dxa"/>
        <w:tblInd w:w="-109" w:type="dxa"/>
        <w:tblLook w:val="0000" w:firstRow="0" w:lastRow="0" w:firstColumn="0" w:lastColumn="0" w:noHBand="0" w:noVBand="0"/>
      </w:tblPr>
      <w:tblGrid>
        <w:gridCol w:w="9948"/>
      </w:tblGrid>
      <w:tr w:rsidR="00C17F29">
        <w:tc>
          <w:tcPr>
            <w:tcW w:w="9948" w:type="dxa"/>
            <w:shd w:val="clear" w:color="auto" w:fill="auto"/>
          </w:tcPr>
          <w:p w:rsidR="00C17F29" w:rsidRDefault="00F86E8F">
            <w:pPr>
              <w:pStyle w:val="Pagrindinistekstas32"/>
              <w:numPr>
                <w:ilvl w:val="0"/>
                <w:numId w:val="3"/>
              </w:numPr>
              <w:spacing w:after="0"/>
              <w:ind w:right="372"/>
              <w:jc w:val="both"/>
            </w:pPr>
            <w:r>
              <w:rPr>
                <w:b/>
                <w:sz w:val="24"/>
                <w:szCs w:val="24"/>
              </w:rPr>
              <w:t>Parengto projekto tikslai ir uždaviniai:</w:t>
            </w:r>
          </w:p>
          <w:p w:rsidR="00C17F29" w:rsidRDefault="00F86E8F">
            <w:pPr>
              <w:tabs>
                <w:tab w:val="left" w:pos="0"/>
              </w:tabs>
              <w:ind w:firstLine="720"/>
              <w:jc w:val="both"/>
            </w:pPr>
            <w:r>
              <w:t xml:space="preserve">Pritarti projekto paraiškos </w:t>
            </w:r>
            <w:r>
              <w:rPr>
                <w:spacing w:val="-6"/>
              </w:rPr>
              <w:t>„Švėkšnos ir Saldus miestų kultūros paveldo objektų pritaikymas turistiniams bei kultūriniams poreikiams“</w:t>
            </w:r>
            <w:r>
              <w:t xml:space="preserve"> teikimui, pagal 2014-2020 m. INTERREG V-A Lietuvos Latvijos bendradarbiavimo per sieną programos 3 kvietimą.</w:t>
            </w:r>
          </w:p>
          <w:p w:rsidR="00C17F29" w:rsidRDefault="00F86E8F">
            <w:pPr>
              <w:tabs>
                <w:tab w:val="left" w:pos="0"/>
              </w:tabs>
              <w:ind w:firstLine="720"/>
              <w:jc w:val="both"/>
            </w:pPr>
            <w:r>
              <w:t>Projektas bus įgyvendinamas kartu su Saldus savivaldybės administracija iš Latvijos Respublikos.</w:t>
            </w:r>
          </w:p>
          <w:p w:rsidR="00C17F29" w:rsidRDefault="00F86E8F">
            <w:pPr>
              <w:tabs>
                <w:tab w:val="left" w:pos="0"/>
              </w:tabs>
              <w:ind w:firstLine="720"/>
              <w:jc w:val="both"/>
            </w:pPr>
            <w:r>
              <w:t xml:space="preserve">Projekto partnerio pagrindinis tikslas - pastato - Švėkšnos sinagogos pastatas esantis adresu - Liepų aikštėje 12, Švėkšna, kapitalinio remonto atlikimas. </w:t>
            </w:r>
          </w:p>
          <w:p w:rsidR="00C17F29" w:rsidRDefault="00C17F29">
            <w:pPr>
              <w:tabs>
                <w:tab w:val="left" w:pos="0"/>
              </w:tabs>
              <w:ind w:firstLine="720"/>
              <w:jc w:val="both"/>
            </w:pPr>
          </w:p>
          <w:p w:rsidR="00C17F29" w:rsidRDefault="00C17F29">
            <w:pPr>
              <w:tabs>
                <w:tab w:val="left" w:pos="0"/>
              </w:tabs>
              <w:ind w:firstLine="720"/>
              <w:jc w:val="both"/>
            </w:pPr>
          </w:p>
        </w:tc>
      </w:tr>
      <w:tr w:rsidR="00C17F29">
        <w:trPr>
          <w:trHeight w:val="559"/>
        </w:trPr>
        <w:tc>
          <w:tcPr>
            <w:tcW w:w="9948" w:type="dxa"/>
            <w:shd w:val="clear" w:color="auto" w:fill="auto"/>
          </w:tcPr>
          <w:p w:rsidR="00C17F29" w:rsidRDefault="00F86E8F">
            <w:pPr>
              <w:numPr>
                <w:ilvl w:val="0"/>
                <w:numId w:val="3"/>
              </w:numPr>
              <w:tabs>
                <w:tab w:val="left" w:pos="0"/>
              </w:tabs>
              <w:ind w:right="372"/>
              <w:jc w:val="both"/>
              <w:rPr>
                <w:b/>
              </w:rPr>
            </w:pPr>
            <w:r>
              <w:rPr>
                <w:b/>
              </w:rPr>
              <w:t xml:space="preserve">Kaip šiuo metu yra sureguliuoti projekte aptarti klausimai. </w:t>
            </w:r>
          </w:p>
          <w:p w:rsidR="00C17F29" w:rsidRDefault="00F86E8F">
            <w:pPr>
              <w:tabs>
                <w:tab w:val="left" w:pos="0"/>
              </w:tabs>
              <w:ind w:firstLine="720"/>
              <w:jc w:val="both"/>
            </w:pPr>
            <w:r>
              <w:t>2019 m. balandžio 9 d. 2014–2020 m. INTERREG V-A Lietuvos ir Latvijos bendradarbiavimo per sieną programa paskelbė 3-ąjį kvietimą. Programa skirta skatinti ir plėsti Lietuvos ir Latvijos pasienio regionų bendradarbiavimą per sieną ir tiesiogiai prisideda prie bendro tikslo – pažangos, bendro teritorijos klestėjimo ir geros kaimynystės tarp Lietuvos ir Latvijos.  Projektas atitinka 2014-2020 m. INTERREG V-A Lietuvos ir Latvijos bendradarbiavimo per sieną programos 3 kvietimo, 1  prioriteto: „Tvarios ir švarios aplinkos išsaugojimas per valstybinį bendradarbiavimą“, 1.1. specialųjį tikslą -  Padidinti turistų skaičių programos finansuojamose vietovėse atstatant ir vystant kultūros ir gamtos paveldo objektus, paslaugas bei produktus.</w:t>
            </w:r>
          </w:p>
          <w:p w:rsidR="00C17F29" w:rsidRDefault="00F86E8F">
            <w:pPr>
              <w:tabs>
                <w:tab w:val="left" w:pos="0"/>
              </w:tabs>
              <w:ind w:firstLine="720"/>
              <w:jc w:val="both"/>
            </w:pPr>
            <w:r>
              <w:t>Projektas atitinka Šilutės rajono savivaldybės tarybos 2013 metų spalio 24 d. sprendimu Nr.T1-922  patvirtinto Šilutės rajono savivaldybės 2015-2024 m. strateginio plėtros plano 1.2. tikslo „Plėtoti kultūrinį ir gamtinį turizmą, panaudojant kultūrinį-istorinį paveldą bei unikalius Pamario krašto gamtos išteklius“ 1.2.4.14. priemonę „Bendradarbiavimas su religinėmis bendruomenėmis sutvarkant ir pritaikant religinių bendruomenių pastatus viešiesiems poreikiams“.</w:t>
            </w:r>
          </w:p>
        </w:tc>
      </w:tr>
      <w:tr w:rsidR="00C17F29">
        <w:tc>
          <w:tcPr>
            <w:tcW w:w="9948" w:type="dxa"/>
            <w:shd w:val="clear" w:color="auto" w:fill="auto"/>
          </w:tcPr>
          <w:p w:rsidR="00C17F29" w:rsidRDefault="00F86E8F">
            <w:pPr>
              <w:numPr>
                <w:ilvl w:val="0"/>
                <w:numId w:val="3"/>
              </w:numPr>
              <w:ind w:right="372"/>
              <w:jc w:val="both"/>
              <w:rPr>
                <w:b/>
              </w:rPr>
            </w:pPr>
            <w:r>
              <w:rPr>
                <w:b/>
              </w:rPr>
              <w:t xml:space="preserve">Kokių pozityvių rezultatų laukiama. </w:t>
            </w:r>
          </w:p>
          <w:p w:rsidR="00C17F29" w:rsidRDefault="00F86E8F">
            <w:pPr>
              <w:jc w:val="both"/>
            </w:pPr>
            <w:r>
              <w:rPr>
                <w:rFonts w:eastAsia="Thorndale;Times New Roman" w:cs="Thorndale;Times New Roman"/>
                <w:bCs/>
                <w:color w:val="000000"/>
              </w:rPr>
              <w:t xml:space="preserve"> Erdvus sinagogos pastatas yra miestelio centre, istorinėje turgaus aikštėje. Keliant muziejų į buvusią sinagogą (tai vienintelis žydų maldos namų pastatas, kuris bus restauruotas rajone), atsiras galimybė plėsti ekspozicijas, parodyti daugiau muziejuje saugomų vertybių, atskleisti pastato savitumą ir unikalumą. Švėkšnos sinagogoje bus taikomas interjero atgaivinimo principas – kuris pasirenkamas kuomet apie interjerą yra išlikę itin mažai arba neišlikę informacijos. Daugiafunkcinį kultūros centrą su pagrindine – muziejine funkcija aktualu vystyti atsižvelgiant ne tik į vietos gyventojų, bet ir į turistų poreikius, tai teiks ekonominės naudos vietovei.</w:t>
            </w:r>
          </w:p>
          <w:p w:rsidR="00C17F29" w:rsidRDefault="00F86E8F">
            <w:pPr>
              <w:jc w:val="both"/>
            </w:pPr>
            <w:r>
              <w:rPr>
                <w:rFonts w:eastAsia="Thorndale;Times New Roman" w:cs="Thorndale;Times New Roman"/>
                <w:bCs/>
                <w:color w:val="000000"/>
              </w:rPr>
              <w:t xml:space="preserve">Objektas – sinagoga turi naudingų konceptualiai perteikti architektūrinių elementų, kurių vienus </w:t>
            </w:r>
            <w:r>
              <w:rPr>
                <w:rFonts w:eastAsia="Thorndale;Times New Roman" w:cs="Thorndale;Times New Roman"/>
                <w:bCs/>
                <w:color w:val="000000"/>
              </w:rPr>
              <w:lastRenderedPageBreak/>
              <w:t>reikėtų išryškinti, atsižvelgiant į dabartinę objekto situaciją, o kitus paslėpti interjero projekto visumoje. Projektuojant tokio pobūdžio funkciją nedidelėje vietovėje atsižvelgiama į emocinius pojūčius teikiamus objekto. Tikslingai panaudoti erdvių teikiami pojūčiai – tai būdas sukurti ryšį tarp objekto, funkcijos bei lankytojų. Restauravus pastatą ir perkėlus Švėkšnos muziejaus ekspozicijas, čia bus galima sutelkti viso rajono žydų istorijos fragmentus ir reprezentuoti tiek Žemaitijos, tiek Mažosios Lietuvos žydų istoriją. Šiuo metu nėra galimybių eksponuoti unikalias vertybes, nėra sąlygų dirbti su muziejaus archyvais, lankytojai negali pasinaudoti moksline literatūra, dokumentais, nes tam nėra vietos, ekspozicijos įkurtos rūsyje, todėl sąlygos eksponatų laikymui yra netinkamos (per didelė drėgmė, temperatūrų kaita šildymo ir nešildymo metu). Nėra saugyklų fondams, patalpų, skirtų edukacinėms, parodinėms veikloms.</w:t>
            </w:r>
          </w:p>
          <w:p w:rsidR="00C17F29" w:rsidRDefault="00F86E8F">
            <w:pPr>
              <w:jc w:val="both"/>
            </w:pPr>
            <w:r>
              <w:rPr>
                <w:rFonts w:eastAsia="Thorndale;Times New Roman" w:cs="Thorndale;Times New Roman"/>
                <w:bCs/>
                <w:color w:val="000000"/>
              </w:rPr>
              <w:t xml:space="preserve"> Švėkšnos kultūros institucijos kasmet sulaukia profesionalių menininkų pasiūlymų (mažiausiai 10) dėl koncertų, parodų, plenerų, meninių stovyklų, tačiau dažnai reikia atsisakyti, nes nėra parodų/ koncertų salės, erdvių patalpų. Panaudojus sinagogos erdves ir sudarius sąlygas menininkams kurti, bus plėtojama edukacinė veikla vietos bendruomenei, moksleiviams, Šilutės meno mokyklos Švėkšnos dailės skyriaus mokiniams.  Atsiras galimybė plėtoti savanorystę. Jaunimas dažnai įsitraukia į viešų renginių organizavimą, tokiu būdu įgydami patirties.</w:t>
            </w:r>
          </w:p>
          <w:p w:rsidR="00C17F29" w:rsidRDefault="00F86E8F">
            <w:pPr>
              <w:jc w:val="both"/>
            </w:pPr>
            <w:r>
              <w:rPr>
                <w:rFonts w:eastAsia="Thorndale;Times New Roman" w:cs="Thorndale;Times New Roman"/>
                <w:bCs/>
                <w:color w:val="000000"/>
              </w:rPr>
              <w:t>Švėkšnos bendruomenei ir lankytojams bus sudarytos sąlygos kino menui pažinti. Regionuose ypač trūksta susitikimų su autoriais, profesionaliais meno kūrėjais, kurie pristato savo darbus neplačiajai auditorijai. Pritaikius patalpas edukacijai, bus stiprinama edukacinė funkcija sukuriant naujus edukacinius užsiėmimus, vedamos moksleiviams skirtos edukacinės pamokos. Organizuojamos teminės vasaros stovyklos, istorinių kino filmų peržiūros, jaunųjų atlikėjų koncertai, čia veiks ir vietos meistrų gaminių parduotuvėlė, jaunimo užimtumo erdvė. Švėkšnos muziejuje vykdomi edukaciniai užsiėmimai („Mano jidiš vardas“, „Ką byloja namas“, „Apyrankių rišimas“), tačiau nedidelės patalpos stabdo kūrybinę veiklą: turint patalpas bus galima pristatyti vėjo malūnų raidą Žemaitijoje, dvaro etiketą, Žemaitijos kulinarinį paveldą (</w:t>
            </w:r>
            <w:proofErr w:type="spellStart"/>
            <w:r>
              <w:rPr>
                <w:rFonts w:eastAsia="Thorndale;Times New Roman" w:cs="Thorndale;Times New Roman"/>
                <w:bCs/>
                <w:color w:val="000000"/>
              </w:rPr>
              <w:t>spirgynė</w:t>
            </w:r>
            <w:proofErr w:type="spellEnd"/>
            <w:r>
              <w:rPr>
                <w:rFonts w:eastAsia="Thorndale;Times New Roman" w:cs="Thorndale;Times New Roman"/>
                <w:bCs/>
                <w:color w:val="000000"/>
              </w:rPr>
              <w:t xml:space="preserve">, </w:t>
            </w:r>
            <w:proofErr w:type="spellStart"/>
            <w:r>
              <w:rPr>
                <w:rFonts w:eastAsia="Thorndale;Times New Roman" w:cs="Thorndale;Times New Roman"/>
                <w:bCs/>
                <w:color w:val="000000"/>
              </w:rPr>
              <w:t>beigeliai</w:t>
            </w:r>
            <w:proofErr w:type="spellEnd"/>
            <w:r>
              <w:rPr>
                <w:rFonts w:eastAsia="Thorndale;Times New Roman" w:cs="Thorndale;Times New Roman"/>
                <w:bCs/>
                <w:color w:val="000000"/>
              </w:rPr>
              <w:t>, sūriai). Kviesti tautinio paveldo puoselėtojus pristatyti savo gaminamą produkciją, organizuoti pristatymus, degustacijas.</w:t>
            </w:r>
          </w:p>
        </w:tc>
      </w:tr>
      <w:tr w:rsidR="00C17F29">
        <w:tc>
          <w:tcPr>
            <w:tcW w:w="9948" w:type="dxa"/>
            <w:shd w:val="clear" w:color="auto" w:fill="auto"/>
          </w:tcPr>
          <w:p w:rsidR="00C17F29" w:rsidRDefault="00F86E8F">
            <w:pPr>
              <w:numPr>
                <w:ilvl w:val="0"/>
                <w:numId w:val="3"/>
              </w:numPr>
              <w:tabs>
                <w:tab w:val="left" w:pos="0"/>
              </w:tabs>
              <w:ind w:right="372"/>
              <w:jc w:val="both"/>
              <w:rPr>
                <w:b/>
              </w:rPr>
            </w:pPr>
            <w:r>
              <w:rPr>
                <w:b/>
              </w:rPr>
              <w:lastRenderedPageBreak/>
              <w:t>Galimos neigiamos priimto projekto pasekmės ir kokių priemonių reikėtų imtis, kad tokių pasekmių būtų išvengta.</w:t>
            </w:r>
          </w:p>
          <w:p w:rsidR="00C17F29" w:rsidRDefault="00F86E8F">
            <w:pPr>
              <w:tabs>
                <w:tab w:val="left" w:pos="0"/>
              </w:tabs>
              <w:jc w:val="both"/>
            </w:pPr>
            <w:r>
              <w:rPr>
                <w:rFonts w:eastAsia="Thorndale;Times New Roman" w:cs="Thorndale;Times New Roman"/>
              </w:rPr>
              <w:t xml:space="preserve">          </w:t>
            </w:r>
            <w:r>
              <w:t>Nenumatoma.</w:t>
            </w:r>
          </w:p>
          <w:p w:rsidR="00C17F29" w:rsidRDefault="00C17F29">
            <w:pPr>
              <w:tabs>
                <w:tab w:val="left" w:pos="0"/>
              </w:tabs>
              <w:jc w:val="both"/>
              <w:rPr>
                <w:b/>
              </w:rPr>
            </w:pPr>
          </w:p>
        </w:tc>
      </w:tr>
      <w:tr w:rsidR="00C17F29">
        <w:tc>
          <w:tcPr>
            <w:tcW w:w="9948" w:type="dxa"/>
            <w:shd w:val="clear" w:color="auto" w:fill="auto"/>
          </w:tcPr>
          <w:p w:rsidR="00C17F29" w:rsidRDefault="00F86E8F">
            <w:pPr>
              <w:numPr>
                <w:ilvl w:val="0"/>
                <w:numId w:val="3"/>
              </w:numPr>
              <w:tabs>
                <w:tab w:val="left" w:pos="0"/>
              </w:tabs>
              <w:ind w:right="372"/>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C17F29" w:rsidRDefault="00F86E8F">
            <w:pPr>
              <w:ind w:firstLine="720"/>
              <w:jc w:val="both"/>
              <w:rPr>
                <w:lang w:eastAsia="lt-LT"/>
              </w:rPr>
            </w:pPr>
            <w:r>
              <w:rPr>
                <w:lang w:eastAsia="lt-LT"/>
              </w:rPr>
              <w:t xml:space="preserve">Aktų keisti ar panaikinti nenumatoma. </w:t>
            </w:r>
          </w:p>
          <w:p w:rsidR="00C17F29" w:rsidRDefault="00C17F29">
            <w:pPr>
              <w:jc w:val="both"/>
            </w:pPr>
          </w:p>
        </w:tc>
      </w:tr>
      <w:tr w:rsidR="00C17F29">
        <w:tc>
          <w:tcPr>
            <w:tcW w:w="9948" w:type="dxa"/>
            <w:shd w:val="clear" w:color="auto" w:fill="auto"/>
          </w:tcPr>
          <w:p w:rsidR="00C17F29" w:rsidRDefault="00F86E8F">
            <w:pPr>
              <w:numPr>
                <w:ilvl w:val="0"/>
                <w:numId w:val="3"/>
              </w:numPr>
              <w:tabs>
                <w:tab w:val="left" w:pos="0"/>
              </w:tabs>
              <w:ind w:right="372"/>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C17F29" w:rsidRDefault="00F86E8F">
            <w:pPr>
              <w:tabs>
                <w:tab w:val="left" w:pos="0"/>
              </w:tabs>
              <w:ind w:firstLine="720"/>
              <w:jc w:val="both"/>
            </w:pPr>
            <w:r>
              <w:t>Antikorupcinis vertinimas nereikalingas.</w:t>
            </w:r>
          </w:p>
          <w:p w:rsidR="00C17F29" w:rsidRDefault="00C17F29">
            <w:pPr>
              <w:tabs>
                <w:tab w:val="left" w:pos="0"/>
              </w:tabs>
              <w:ind w:firstLine="720"/>
              <w:jc w:val="both"/>
            </w:pPr>
          </w:p>
          <w:p w:rsidR="00C17F29" w:rsidRDefault="00C17F29">
            <w:pPr>
              <w:tabs>
                <w:tab w:val="left" w:pos="0"/>
              </w:tabs>
              <w:ind w:firstLine="720"/>
              <w:jc w:val="both"/>
            </w:pPr>
          </w:p>
        </w:tc>
      </w:tr>
      <w:tr w:rsidR="00C17F29">
        <w:tc>
          <w:tcPr>
            <w:tcW w:w="9948" w:type="dxa"/>
            <w:shd w:val="clear" w:color="auto" w:fill="auto"/>
          </w:tcPr>
          <w:p w:rsidR="00C17F29" w:rsidRDefault="00F86E8F">
            <w:pPr>
              <w:numPr>
                <w:ilvl w:val="0"/>
                <w:numId w:val="3"/>
              </w:numPr>
              <w:tabs>
                <w:tab w:val="left" w:pos="0"/>
              </w:tabs>
              <w:ind w:right="372"/>
              <w:jc w:val="both"/>
              <w:rPr>
                <w:b/>
              </w:rPr>
            </w:pPr>
            <w:r>
              <w:rPr>
                <w:b/>
              </w:rPr>
              <w:t>Projekto rengimo metu gauti specialistų vertinimai ir išvados, ekonominiai apskaičiavimai (sąmatos) ir konkretūs finansavimo šaltiniai.</w:t>
            </w:r>
          </w:p>
          <w:p w:rsidR="00C17F29" w:rsidRDefault="00F86E8F">
            <w:pPr>
              <w:tabs>
                <w:tab w:val="left" w:pos="0"/>
              </w:tabs>
              <w:ind w:right="372"/>
              <w:jc w:val="both"/>
            </w:pPr>
            <w:r>
              <w:t xml:space="preserve">Pagal preliminarų paskaičiavimą šio dviejų metų trukmės projekto vertė – 920 000,00 Eur. Šilutės rajono savivaldybės administracija, savo veikloms finansuoti, pretenduoja į 460 000,00 eurų vertės finansavimą. 85 procentai lėšų bus kompensuojama 2014-2020 m. INTERREG V-A Lietuvos ir Latvijos bendradarbiavimo per sieną programos lėšomis, 15 procentų – nuosavas indėlis. </w:t>
            </w:r>
          </w:p>
        </w:tc>
      </w:tr>
      <w:tr w:rsidR="00C17F29">
        <w:tc>
          <w:tcPr>
            <w:tcW w:w="9948" w:type="dxa"/>
            <w:shd w:val="clear" w:color="auto" w:fill="auto"/>
          </w:tcPr>
          <w:p w:rsidR="00C17F29" w:rsidRDefault="00F86E8F">
            <w:pPr>
              <w:numPr>
                <w:ilvl w:val="0"/>
                <w:numId w:val="3"/>
              </w:numPr>
              <w:tabs>
                <w:tab w:val="left" w:pos="0"/>
              </w:tabs>
              <w:ind w:right="372"/>
              <w:jc w:val="both"/>
              <w:rPr>
                <w:b/>
              </w:rPr>
            </w:pPr>
            <w:r>
              <w:rPr>
                <w:b/>
              </w:rPr>
              <w:t xml:space="preserve">Projekto autorius ar autorių grupė. </w:t>
            </w:r>
          </w:p>
          <w:p w:rsidR="00C17F29" w:rsidRDefault="00F86E8F">
            <w:r>
              <w:rPr>
                <w:rFonts w:eastAsia="Thorndale;Times New Roman" w:cs="Thorndale;Times New Roman"/>
                <w:bCs/>
              </w:rPr>
              <w:t xml:space="preserve">            </w:t>
            </w:r>
            <w:r>
              <w:rPr>
                <w:bCs/>
              </w:rPr>
              <w:t xml:space="preserve">Planavimo ir plėtros skyriaus vyriausioji specialistė Simona </w:t>
            </w:r>
            <w:proofErr w:type="spellStart"/>
            <w:r>
              <w:rPr>
                <w:bCs/>
              </w:rPr>
              <w:t>Bokštaitė-Dryžienė</w:t>
            </w:r>
            <w:proofErr w:type="spellEnd"/>
          </w:p>
          <w:p w:rsidR="00C17F29" w:rsidRDefault="00F86E8F">
            <w:pPr>
              <w:rPr>
                <w:rFonts w:eastAsia="Thorndale;Times New Roman" w:cs="Thorndale;Times New Roman"/>
                <w:bCs/>
              </w:rPr>
            </w:pPr>
            <w:r>
              <w:rPr>
                <w:rFonts w:eastAsia="Thorndale;Times New Roman" w:cs="Thorndale;Times New Roman"/>
                <w:bCs/>
              </w:rPr>
              <w:t xml:space="preserve"> </w:t>
            </w:r>
          </w:p>
        </w:tc>
      </w:tr>
      <w:tr w:rsidR="00C17F29">
        <w:tc>
          <w:tcPr>
            <w:tcW w:w="9948" w:type="dxa"/>
            <w:shd w:val="clear" w:color="auto" w:fill="auto"/>
          </w:tcPr>
          <w:p w:rsidR="00C17F29" w:rsidRDefault="00F86E8F">
            <w:pPr>
              <w:numPr>
                <w:ilvl w:val="0"/>
                <w:numId w:val="3"/>
              </w:numPr>
              <w:tabs>
                <w:tab w:val="left" w:pos="0"/>
              </w:tabs>
              <w:ind w:right="372"/>
              <w:jc w:val="both"/>
              <w:rPr>
                <w:b/>
              </w:rPr>
            </w:pPr>
            <w:r>
              <w:rPr>
                <w:b/>
              </w:rPr>
              <w:t>Reikšminiai projekto žodžiai, kurių reikia šiam projektui įtraukti į kompiuterinę paieškos sistemą.</w:t>
            </w:r>
          </w:p>
          <w:p w:rsidR="00C17F29" w:rsidRDefault="00F86E8F">
            <w:pPr>
              <w:tabs>
                <w:tab w:val="left" w:pos="0"/>
              </w:tabs>
              <w:ind w:right="372" w:firstLine="720"/>
              <w:jc w:val="both"/>
            </w:pPr>
            <w:r>
              <w:lastRenderedPageBreak/>
              <w:t xml:space="preserve">Lietuvos ir Latvijos bendradarbiavimo per sieną programa. </w:t>
            </w:r>
          </w:p>
          <w:p w:rsidR="00C17F29" w:rsidRDefault="00C17F29">
            <w:pPr>
              <w:tabs>
                <w:tab w:val="left" w:pos="0"/>
              </w:tabs>
              <w:ind w:right="372" w:firstLine="720"/>
              <w:jc w:val="both"/>
            </w:pPr>
          </w:p>
        </w:tc>
      </w:tr>
      <w:tr w:rsidR="00C17F29">
        <w:trPr>
          <w:trHeight w:val="675"/>
        </w:trPr>
        <w:tc>
          <w:tcPr>
            <w:tcW w:w="9948" w:type="dxa"/>
            <w:shd w:val="clear" w:color="auto" w:fill="auto"/>
          </w:tcPr>
          <w:p w:rsidR="00C17F29" w:rsidRDefault="00F86E8F">
            <w:pPr>
              <w:numPr>
                <w:ilvl w:val="0"/>
                <w:numId w:val="3"/>
              </w:numPr>
              <w:ind w:right="372"/>
              <w:jc w:val="both"/>
              <w:rPr>
                <w:b/>
              </w:rPr>
            </w:pPr>
            <w:r>
              <w:rPr>
                <w:b/>
              </w:rPr>
              <w:lastRenderedPageBreak/>
              <w:t xml:space="preserve">Kiti, autorių nuomone, reikalingi pagrindimai ir paaiškinimai. </w:t>
            </w:r>
          </w:p>
          <w:p w:rsidR="00C17F29" w:rsidRDefault="00F86E8F">
            <w:r>
              <w:rPr>
                <w:rFonts w:eastAsia="Thorndale;Times New Roman" w:cs="Thorndale;Times New Roman"/>
                <w:bCs/>
              </w:rPr>
              <w:t xml:space="preserve">           </w:t>
            </w:r>
            <w:r>
              <w:rPr>
                <w:bCs/>
              </w:rPr>
              <w:t xml:space="preserve">Nėra. </w:t>
            </w:r>
          </w:p>
        </w:tc>
      </w:tr>
    </w:tbl>
    <w:p w:rsidR="00C17F29" w:rsidRDefault="00C17F29"/>
    <w:tbl>
      <w:tblPr>
        <w:tblW w:w="9948" w:type="dxa"/>
        <w:tblInd w:w="-109" w:type="dxa"/>
        <w:tblLook w:val="0000" w:firstRow="0" w:lastRow="0" w:firstColumn="0" w:lastColumn="0" w:noHBand="0" w:noVBand="0"/>
      </w:tblPr>
      <w:tblGrid>
        <w:gridCol w:w="9948"/>
      </w:tblGrid>
      <w:tr w:rsidR="00C17F29">
        <w:trPr>
          <w:trHeight w:val="116"/>
        </w:trPr>
        <w:tc>
          <w:tcPr>
            <w:tcW w:w="9948" w:type="dxa"/>
            <w:shd w:val="clear" w:color="auto" w:fill="auto"/>
          </w:tcPr>
          <w:p w:rsidR="00C17F29" w:rsidRDefault="00F86E8F">
            <w:pPr>
              <w:tabs>
                <w:tab w:val="left" w:pos="7371"/>
                <w:tab w:val="left" w:pos="7513"/>
              </w:tabs>
            </w:pPr>
            <w:r>
              <w:rPr>
                <w:bCs/>
              </w:rPr>
              <w:t xml:space="preserve">Planavimo ir plėtros skyriaus </w:t>
            </w:r>
            <w:r>
              <w:t xml:space="preserve">vyriausiasis specialistė                                Simona </w:t>
            </w:r>
            <w:proofErr w:type="spellStart"/>
            <w:r>
              <w:t>Bokštaitė-Dryžienė</w:t>
            </w:r>
            <w:proofErr w:type="spellEnd"/>
          </w:p>
        </w:tc>
      </w:tr>
    </w:tbl>
    <w:p w:rsidR="00C17F29" w:rsidRDefault="00C17F29"/>
    <w:p w:rsidR="00C17F29" w:rsidRDefault="00F86E8F">
      <w:pPr>
        <w:tabs>
          <w:tab w:val="left" w:pos="0"/>
          <w:tab w:val="left" w:pos="576"/>
        </w:tabs>
        <w:ind w:firstLine="483"/>
        <w:jc w:val="both"/>
        <w:rPr>
          <w:rFonts w:eastAsia="Thorndale;Times New Roman" w:cs="Thorndale;Times New Roman"/>
          <w:iCs/>
        </w:rPr>
      </w:pPr>
      <w:r>
        <w:rPr>
          <w:rFonts w:eastAsia="Thorndale;Times New Roman" w:cs="Thorndale;Times New Roman"/>
          <w:iCs/>
        </w:rPr>
        <w:t xml:space="preserve"> </w:t>
      </w:r>
    </w:p>
    <w:p w:rsidR="00C17F29" w:rsidRDefault="00C17F29">
      <w:pPr>
        <w:rPr>
          <w:iCs/>
        </w:rPr>
      </w:pPr>
    </w:p>
    <w:p w:rsidR="00C17F29" w:rsidRDefault="00C17F29">
      <w:pPr>
        <w:rPr>
          <w:bCs/>
          <w:iCs/>
        </w:rPr>
      </w:pPr>
    </w:p>
    <w:p w:rsidR="00C17F29" w:rsidRDefault="00C17F29"/>
    <w:sectPr w:rsidR="00C17F29">
      <w:headerReference w:type="default" r:id="rId7"/>
      <w:footerReference w:type="default" r:id="rId8"/>
      <w:pgSz w:w="11906" w:h="16838"/>
      <w:pgMar w:top="1134" w:right="567" w:bottom="1134" w:left="1701" w:header="567"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84" w:rsidRDefault="00F86E8F">
      <w:r>
        <w:separator/>
      </w:r>
    </w:p>
  </w:endnote>
  <w:endnote w:type="continuationSeparator" w:id="0">
    <w:p w:rsidR="006F3F84" w:rsidRDefault="00F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horndale;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TimesLT;Times New 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Liberation Mono">
    <w:altName w:val="Courier New"/>
    <w:charset w:val="BA"/>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29" w:rsidRDefault="00F86E8F">
    <w:pPr>
      <w:pStyle w:val="Porat"/>
    </w:pPr>
    <w:r>
      <w:fldChar w:fldCharType="begin"/>
    </w:r>
    <w:r>
      <w:instrText>FILENAME \p</w:instrText>
    </w:r>
    <w:r>
      <w:fldChar w:fldCharType="separate"/>
    </w:r>
    <w:r w:rsidR="005D5549">
      <w:rPr>
        <w:noProof/>
      </w:rPr>
      <w:t>P:\Tarybos_projektai_2011-2018\2019 metai\Bir</w:t>
    </w:r>
    <w:r w:rsidR="005D5549">
      <w:rPr>
        <w:rFonts w:hint="eastAsia"/>
        <w:noProof/>
      </w:rPr>
      <w:t>ž</w:t>
    </w:r>
    <w:r w:rsidR="005D5549">
      <w:rPr>
        <w:noProof/>
      </w:rPr>
      <w:t>elio 27\PPS03KJ.docx</w:t>
    </w:r>
    <w:r>
      <w:fldChar w:fldCharType="end"/>
    </w:r>
  </w:p>
  <w:p w:rsidR="00C17F29" w:rsidRDefault="00C17F29">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84" w:rsidRDefault="00F86E8F">
      <w:r>
        <w:separator/>
      </w:r>
    </w:p>
  </w:footnote>
  <w:footnote w:type="continuationSeparator" w:id="0">
    <w:p w:rsidR="006F3F84" w:rsidRDefault="00F8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29" w:rsidRDefault="00F86E8F">
    <w:pPr>
      <w:pStyle w:val="Antrats"/>
      <w:jc w:val="right"/>
      <w:rPr>
        <w:b/>
      </w:rPr>
    </w:pPr>
    <w:r>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48BF"/>
    <w:multiLevelType w:val="multilevel"/>
    <w:tmpl w:val="F1D887A8"/>
    <w:lvl w:ilvl="0">
      <w:start w:val="1"/>
      <w:numFmt w:val="decimal"/>
      <w:lvlText w:val="%1."/>
      <w:lvlJc w:val="left"/>
      <w:pPr>
        <w:ind w:left="720" w:hanging="360"/>
      </w:pPr>
      <w:rPr>
        <w:b w:val="0"/>
        <w:bCs w:val="0"/>
        <w:spacing w:val="-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D414A"/>
    <w:multiLevelType w:val="multilevel"/>
    <w:tmpl w:val="C91CB508"/>
    <w:lvl w:ilvl="0">
      <w:start w:val="1"/>
      <w:numFmt w:val="decimal"/>
      <w:lvlText w:val="%1."/>
      <w:lvlJc w:val="left"/>
      <w:pPr>
        <w:ind w:left="720" w:hanging="360"/>
      </w:pPr>
      <w:rPr>
        <w:b/>
        <w:sz w:val="24"/>
        <w:szCs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5AE2518D"/>
    <w:multiLevelType w:val="multilevel"/>
    <w:tmpl w:val="B93EF096"/>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trackRevisions/>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F29"/>
    <w:rsid w:val="005D5549"/>
    <w:rsid w:val="006F3F84"/>
    <w:rsid w:val="00986EC2"/>
    <w:rsid w:val="009A04D9"/>
    <w:rsid w:val="00C17F29"/>
    <w:rsid w:val="00F86E8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CB746-4921-49E4-BB3E-D3041A45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ascii="Thorndale;Times New Roman" w:eastAsia="Times New Roman" w:hAnsi="Thorndale;Times New Roman" w:cs="Tahoma"/>
      <w:color w:val="00000A"/>
      <w:sz w:val="24"/>
      <w:lang w:bidi="ar-SA"/>
    </w:rPr>
  </w:style>
  <w:style w:type="paragraph" w:styleId="Antrat1">
    <w:name w:val="heading 1"/>
    <w:basedOn w:val="prastasis"/>
    <w:qFormat/>
    <w:pPr>
      <w:keepNext/>
      <w:widowControl/>
      <w:numPr>
        <w:numId w:val="1"/>
      </w:numPr>
      <w:suppressAutoHyphens w:val="0"/>
      <w:spacing w:before="240" w:after="60"/>
      <w:outlineLvl w:val="0"/>
    </w:pPr>
    <w:rPr>
      <w:rFonts w:ascii="Arial" w:hAnsi="Arial" w:cs="Arial"/>
      <w:b/>
      <w:bCs/>
      <w:kern w:val="2"/>
      <w:sz w:val="32"/>
      <w:szCs w:val="32"/>
      <w:lang w:val="en-GB"/>
    </w:rPr>
  </w:style>
  <w:style w:type="paragraph" w:styleId="Antrat2">
    <w:name w:val="heading 2"/>
    <w:basedOn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qFormat/>
    <w:pPr>
      <w:keepNext/>
      <w:keepLines/>
      <w:numPr>
        <w:ilvl w:val="3"/>
        <w:numId w:val="1"/>
      </w:numPr>
      <w:spacing w:before="40"/>
      <w:outlineLvl w:val="3"/>
    </w:pPr>
    <w:rPr>
      <w:rFonts w:ascii="Calibri Light" w:hAnsi="Calibri Light" w:cs="Times New Roman"/>
      <w:i/>
      <w:iCs/>
      <w:color w:val="2E74B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bCs w:val="0"/>
      <w:spacing w:val="-6"/>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sz w:val="24"/>
      <w:szCs w:val="24"/>
    </w:rPr>
  </w:style>
  <w:style w:type="character" w:customStyle="1" w:styleId="Numatytasispastraiposriftas3">
    <w:name w:val="Numatytasis pastraipos šriftas3"/>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pacing w:val="-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2">
    <w:name w:val="Numatytasis pastraipos šriftas2"/>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Numatytasispastraiposriftas1">
    <w:name w:val="Numatytasis pastraipos šriftas1"/>
    <w:qFormat/>
  </w:style>
  <w:style w:type="character" w:customStyle="1" w:styleId="Internetosaitas">
    <w:name w:val="Interneto saitas"/>
    <w:rPr>
      <w:color w:val="0000FF"/>
      <w:u w:val="single"/>
    </w:rPr>
  </w:style>
  <w:style w:type="character" w:customStyle="1" w:styleId="Antrat4Diagrama">
    <w:name w:val="Antraštė 4 Diagrama"/>
    <w:qFormat/>
    <w:rPr>
      <w:rFonts w:ascii="Calibri Light" w:eastAsia="Times New Roman" w:hAnsi="Calibri Light" w:cs="Times New Roman"/>
      <w:i/>
      <w:iCs/>
      <w:color w:val="2E74B5"/>
      <w:sz w:val="24"/>
      <w:szCs w:val="24"/>
    </w:rPr>
  </w:style>
  <w:style w:type="character" w:customStyle="1" w:styleId="apple-converted-space">
    <w:name w:val="apple-converted-space"/>
    <w:basedOn w:val="Numatytasispastraiposriftas1"/>
    <w:qFormat/>
  </w:style>
  <w:style w:type="character" w:customStyle="1" w:styleId="PagrindiniotekstotraukaDiagrama">
    <w:name w:val="Pagrindinio teksto įtrauka Diagrama"/>
    <w:qFormat/>
    <w:rPr>
      <w:sz w:val="24"/>
      <w:szCs w:val="24"/>
      <w:lang w:val="en-GB"/>
    </w:rPr>
  </w:style>
  <w:style w:type="character" w:customStyle="1" w:styleId="PavadinimasDiagrama">
    <w:name w:val="Pavadinimas Diagrama"/>
    <w:qFormat/>
    <w:rPr>
      <w:b/>
      <w:sz w:val="24"/>
      <w:szCs w:val="24"/>
    </w:rPr>
  </w:style>
  <w:style w:type="character" w:customStyle="1" w:styleId="PagrindinistekstasDiagrama">
    <w:name w:val="Pagrindinis tekstas Diagrama"/>
    <w:qFormat/>
    <w:rPr>
      <w:sz w:val="26"/>
    </w:rPr>
  </w:style>
  <w:style w:type="character" w:customStyle="1" w:styleId="Pagrindinistekstas3Diagrama">
    <w:name w:val="Pagrindinis tekstas 3 Diagrama"/>
    <w:qFormat/>
    <w:rPr>
      <w:sz w:val="16"/>
      <w:szCs w:val="16"/>
    </w:rPr>
  </w:style>
  <w:style w:type="character" w:styleId="Vietosrezervavimoenklotekstas">
    <w:name w:val="Placeholder Text"/>
    <w:qFormat/>
    <w:rPr>
      <w:color w:val="808080"/>
    </w:rPr>
  </w:style>
  <w:style w:type="character" w:customStyle="1" w:styleId="PoratDiagrama">
    <w:name w:val="Poraštė Diagrama"/>
    <w:qFormat/>
    <w:rPr>
      <w:rFonts w:ascii="Thorndale;Times New Roman" w:hAnsi="Thorndale;Times New Roman" w:cs="Tahoma"/>
      <w:sz w:val="24"/>
      <w:szCs w:val="24"/>
      <w:lang w:eastAsia="zh-CN"/>
    </w:rPr>
  </w:style>
  <w:style w:type="character" w:customStyle="1" w:styleId="WW8Num17z0">
    <w:name w:val="WW8Num17z0"/>
    <w:qFormat/>
    <w:rPr>
      <w:b/>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iprusparykinimas">
    <w:name w:val="Stiprus paryškinimas"/>
    <w:qFormat/>
    <w:rPr>
      <w:b/>
      <w:bCs/>
    </w:rPr>
  </w:style>
  <w:style w:type="character" w:customStyle="1" w:styleId="ListLabel1">
    <w:name w:val="ListLabel 1"/>
    <w:qFormat/>
    <w:rPr>
      <w:b w:val="0"/>
      <w:bCs w:val="0"/>
      <w:spacing w:val="-6"/>
      <w:sz w:val="24"/>
      <w:szCs w:val="24"/>
    </w:rPr>
  </w:style>
  <w:style w:type="character" w:customStyle="1" w:styleId="ListLabel2">
    <w:name w:val="ListLabel 2"/>
    <w:qFormat/>
    <w:rPr>
      <w:b/>
      <w:sz w:val="24"/>
      <w:szCs w:val="24"/>
    </w:rPr>
  </w:style>
  <w:style w:type="character" w:customStyle="1" w:styleId="ListLabel3">
    <w:name w:val="ListLabel 3"/>
    <w:qFormat/>
    <w:rPr>
      <w:b w:val="0"/>
      <w:bCs w:val="0"/>
      <w:spacing w:val="-6"/>
      <w:sz w:val="24"/>
      <w:szCs w:val="24"/>
    </w:rPr>
  </w:style>
  <w:style w:type="character" w:customStyle="1" w:styleId="ListLabel4">
    <w:name w:val="ListLabel 4"/>
    <w:qFormat/>
    <w:rPr>
      <w:b/>
      <w:sz w:val="24"/>
      <w:szCs w:val="24"/>
    </w:rPr>
  </w:style>
  <w:style w:type="character" w:customStyle="1" w:styleId="ListLabel5">
    <w:name w:val="ListLabel 5"/>
    <w:qFormat/>
    <w:rPr>
      <w:b w:val="0"/>
      <w:bCs w:val="0"/>
      <w:spacing w:val="-6"/>
      <w:sz w:val="24"/>
      <w:szCs w:val="24"/>
    </w:rPr>
  </w:style>
  <w:style w:type="character" w:customStyle="1" w:styleId="ListLabel6">
    <w:name w:val="ListLabel 6"/>
    <w:qFormat/>
    <w:rPr>
      <w:b/>
      <w:sz w:val="24"/>
      <w:szCs w:val="24"/>
    </w:rPr>
  </w:style>
  <w:style w:type="character" w:customStyle="1" w:styleId="ListLabel7">
    <w:name w:val="ListLabel 7"/>
    <w:qFormat/>
    <w:rPr>
      <w:b w:val="0"/>
      <w:bCs w:val="0"/>
      <w:spacing w:val="-6"/>
      <w:sz w:val="24"/>
      <w:szCs w:val="24"/>
    </w:rPr>
  </w:style>
  <w:style w:type="character" w:customStyle="1" w:styleId="ListLabel8">
    <w:name w:val="ListLabel 8"/>
    <w:qFormat/>
    <w:rPr>
      <w:b/>
      <w:sz w:val="24"/>
      <w:szCs w:val="24"/>
    </w:rPr>
  </w:style>
  <w:style w:type="character" w:customStyle="1" w:styleId="ListLabel9">
    <w:name w:val="ListLabel 9"/>
    <w:qFormat/>
    <w:rPr>
      <w:b w:val="0"/>
      <w:bCs w:val="0"/>
      <w:spacing w:val="-6"/>
      <w:sz w:val="24"/>
      <w:szCs w:val="24"/>
    </w:rPr>
  </w:style>
  <w:style w:type="character" w:customStyle="1" w:styleId="ListLabel10">
    <w:name w:val="ListLabel 10"/>
    <w:qFormat/>
    <w:rPr>
      <w:b/>
      <w:sz w:val="24"/>
      <w:szCs w:val="24"/>
    </w:rPr>
  </w:style>
  <w:style w:type="character" w:customStyle="1" w:styleId="ListLabel11">
    <w:name w:val="ListLabel 11"/>
    <w:qFormat/>
    <w:rPr>
      <w:b w:val="0"/>
      <w:bCs w:val="0"/>
      <w:spacing w:val="-6"/>
      <w:sz w:val="24"/>
      <w:szCs w:val="24"/>
    </w:rPr>
  </w:style>
  <w:style w:type="character" w:customStyle="1" w:styleId="ListLabel12">
    <w:name w:val="ListLabel 12"/>
    <w:qFormat/>
    <w:rPr>
      <w:b/>
      <w:sz w:val="24"/>
      <w:szCs w:val="24"/>
    </w:rPr>
  </w:style>
  <w:style w:type="character" w:customStyle="1" w:styleId="ListLabel13">
    <w:name w:val="ListLabel 13"/>
    <w:qFormat/>
    <w:rPr>
      <w:b w:val="0"/>
      <w:bCs w:val="0"/>
      <w:spacing w:val="-6"/>
      <w:sz w:val="24"/>
      <w:szCs w:val="24"/>
    </w:rPr>
  </w:style>
  <w:style w:type="character" w:customStyle="1" w:styleId="ListLabel14">
    <w:name w:val="ListLabel 14"/>
    <w:qFormat/>
    <w:rPr>
      <w:b/>
      <w:sz w:val="24"/>
      <w:szCs w:val="24"/>
    </w:rPr>
  </w:style>
  <w:style w:type="character" w:customStyle="1" w:styleId="ListLabel15">
    <w:name w:val="ListLabel 15"/>
    <w:qFormat/>
    <w:rPr>
      <w:b w:val="0"/>
      <w:bCs w:val="0"/>
      <w:spacing w:val="-6"/>
      <w:sz w:val="24"/>
      <w:szCs w:val="24"/>
    </w:rPr>
  </w:style>
  <w:style w:type="character" w:customStyle="1" w:styleId="ListLabel16">
    <w:name w:val="ListLabel 16"/>
    <w:qFormat/>
    <w:rPr>
      <w:b/>
      <w:sz w:val="24"/>
      <w:szCs w:val="24"/>
    </w:rPr>
  </w:style>
  <w:style w:type="character" w:customStyle="1" w:styleId="ListLabel17">
    <w:name w:val="ListLabel 17"/>
    <w:qFormat/>
    <w:rPr>
      <w:b w:val="0"/>
      <w:bCs w:val="0"/>
      <w:spacing w:val="-6"/>
      <w:sz w:val="24"/>
      <w:szCs w:val="24"/>
    </w:rPr>
  </w:style>
  <w:style w:type="character" w:customStyle="1" w:styleId="ListLabel18">
    <w:name w:val="ListLabel 18"/>
    <w:qFormat/>
    <w:rPr>
      <w:b/>
      <w:sz w:val="24"/>
      <w:szCs w:val="24"/>
    </w:rPr>
  </w:style>
  <w:style w:type="character" w:customStyle="1" w:styleId="ListLabel19">
    <w:name w:val="ListLabel 19"/>
    <w:qFormat/>
    <w:rPr>
      <w:b w:val="0"/>
      <w:bCs w:val="0"/>
      <w:spacing w:val="-6"/>
      <w:sz w:val="24"/>
      <w:szCs w:val="24"/>
    </w:rPr>
  </w:style>
  <w:style w:type="character" w:customStyle="1" w:styleId="ListLabel20">
    <w:name w:val="ListLabel 20"/>
    <w:qFormat/>
    <w:rPr>
      <w:b/>
      <w:sz w:val="24"/>
      <w:szCs w:val="24"/>
    </w:rPr>
  </w:style>
  <w:style w:type="paragraph" w:styleId="Antrat">
    <w:name w:val="caption"/>
    <w:basedOn w:val="prastasis"/>
    <w:next w:val="Pagrindinistekstas"/>
    <w:qFormat/>
    <w:pPr>
      <w:suppressLineNumbers/>
      <w:spacing w:before="120" w:after="120"/>
    </w:pPr>
    <w:rPr>
      <w:rFonts w:ascii="Times New Roman" w:hAnsi="Times New Roman" w:cs="Arial"/>
      <w:i/>
      <w:iCs/>
    </w:rPr>
  </w:style>
  <w:style w:type="paragraph" w:styleId="Pagrindinistekstas">
    <w:name w:val="Body Text"/>
    <w:basedOn w:val="prastasis"/>
    <w:pPr>
      <w:widowControl/>
      <w:suppressAutoHyphens w:val="0"/>
      <w:spacing w:after="120"/>
    </w:pPr>
    <w:rPr>
      <w:rFonts w:ascii="Times New Roman" w:hAnsi="Times New Roman" w:cs="Times New Roman"/>
      <w:sz w:val="26"/>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ascii="Times New Roman" w:hAnsi="Times New Roman" w:cs="Arial"/>
    </w:rPr>
  </w:style>
  <w:style w:type="paragraph" w:customStyle="1" w:styleId="Antrat30">
    <w:name w:val="Antraštė3"/>
    <w:basedOn w:val="prastasis"/>
    <w:qFormat/>
    <w:pPr>
      <w:suppressLineNumbers/>
      <w:spacing w:before="120" w:after="120"/>
    </w:pPr>
    <w:rPr>
      <w:rFonts w:ascii="Times New Roman" w:hAnsi="Times New Roman" w:cs="Arial"/>
      <w:i/>
      <w:iCs/>
    </w:rPr>
  </w:style>
  <w:style w:type="paragraph" w:customStyle="1" w:styleId="Antrat20">
    <w:name w:val="Antraštė2"/>
    <w:basedOn w:val="prastasis"/>
    <w:qFormat/>
    <w:pPr>
      <w:suppressLineNumbers/>
      <w:spacing w:before="120" w:after="120"/>
    </w:pPr>
    <w:rPr>
      <w:rFonts w:ascii="Times New Roman" w:hAnsi="Times New Roman" w:cs="Arial"/>
      <w:i/>
      <w:iCs/>
    </w:rPr>
  </w:style>
  <w:style w:type="paragraph" w:customStyle="1" w:styleId="Antrat10">
    <w:name w:val="Antraštė1"/>
    <w:basedOn w:val="prastasis"/>
    <w:qFormat/>
    <w:pPr>
      <w:widowControl/>
      <w:suppressAutoHyphens w:val="0"/>
      <w:jc w:val="center"/>
    </w:pPr>
    <w:rPr>
      <w:rFonts w:ascii="Times New Roman" w:hAnsi="Times New Roman" w:cs="Times New Roman"/>
      <w:b/>
    </w:rPr>
  </w:style>
  <w:style w:type="paragraph" w:customStyle="1" w:styleId="MAZAS">
    <w:name w:val="MAZAS"/>
    <w:qFormat/>
    <w:pPr>
      <w:suppressAutoHyphens/>
      <w:ind w:firstLine="312"/>
      <w:jc w:val="both"/>
    </w:pPr>
    <w:rPr>
      <w:rFonts w:ascii="TimesLT;Times New Roman" w:eastAsia="Times New Roman" w:hAnsi="TimesLT;Times New Roman" w:cs="TimesLT;Times New Roman"/>
      <w:color w:val="000000"/>
      <w:sz w:val="8"/>
      <w:szCs w:val="8"/>
      <w:lang w:val="en-US" w:bidi="ar-SA"/>
    </w:rPr>
  </w:style>
  <w:style w:type="paragraph" w:customStyle="1" w:styleId="Patvirtinta">
    <w:name w:val="Patvirtinta"/>
    <w:qFormat/>
    <w:pPr>
      <w:tabs>
        <w:tab w:val="left" w:pos="1304"/>
        <w:tab w:val="left" w:pos="1457"/>
        <w:tab w:val="left" w:pos="1604"/>
        <w:tab w:val="left" w:pos="1757"/>
      </w:tabs>
      <w:suppressAutoHyphens/>
      <w:ind w:left="5953"/>
    </w:pPr>
    <w:rPr>
      <w:rFonts w:ascii="TimesLT;Times New Roman" w:eastAsia="Times New Roman" w:hAnsi="TimesLT;Times New Roman" w:cs="TimesLT;Times New Roman"/>
      <w:color w:val="00000A"/>
      <w:sz w:val="24"/>
      <w:szCs w:val="20"/>
      <w:lang w:val="en-US" w:bidi="ar-SA"/>
    </w:rPr>
  </w:style>
  <w:style w:type="paragraph" w:customStyle="1" w:styleId="CharCharDiagramaDiagramaDiagramaDiagrama">
    <w:name w:val="Char Char Diagrama Diagrama Diagrama Diagrama"/>
    <w:basedOn w:val="prastasis"/>
    <w:qFormat/>
    <w:pPr>
      <w:widowControl/>
      <w:suppressAutoHyphens w:val="0"/>
      <w:spacing w:after="160" w:line="240" w:lineRule="exact"/>
    </w:pPr>
    <w:rPr>
      <w:rFonts w:ascii="Verdana" w:hAnsi="Verdana" w:cs="Times New Roman"/>
      <w:sz w:val="20"/>
      <w:szCs w:val="20"/>
      <w:lang w:val="en-US"/>
    </w:rPr>
  </w:style>
  <w:style w:type="paragraph" w:customStyle="1" w:styleId="ISTATYMAS">
    <w:name w:val="ISTATYMAS"/>
    <w:qFormat/>
    <w:pPr>
      <w:suppressAutoHyphens/>
      <w:jc w:val="center"/>
    </w:pPr>
    <w:rPr>
      <w:rFonts w:ascii="TimesLT;Times New Roman" w:eastAsia="Times New Roman" w:hAnsi="TimesLT;Times New Roman" w:cs="TimesLT;Times New Roman"/>
      <w:color w:val="00000A"/>
      <w:sz w:val="24"/>
      <w:szCs w:val="20"/>
      <w:lang w:val="en-US" w:bidi="ar-SA"/>
    </w:rPr>
  </w:style>
  <w:style w:type="paragraph" w:customStyle="1" w:styleId="Pavadinimas1">
    <w:name w:val="Pavadinimas1"/>
    <w:basedOn w:val="prastasis"/>
    <w:qFormat/>
    <w:pPr>
      <w:keepLines/>
      <w:widowControl/>
      <w:spacing w:line="288" w:lineRule="auto"/>
      <w:ind w:left="850"/>
    </w:pPr>
    <w:rPr>
      <w:rFonts w:ascii="Times New Roman" w:hAnsi="Times New Roman" w:cs="Times New Roman"/>
      <w:b/>
      <w:bCs/>
      <w:caps/>
      <w:color w:val="000000"/>
      <w:sz w:val="22"/>
      <w:szCs w:val="22"/>
    </w:rPr>
  </w:style>
  <w:style w:type="paragraph" w:styleId="Debesliotekstas">
    <w:name w:val="Balloon Text"/>
    <w:basedOn w:val="prastasis"/>
    <w:qFormat/>
    <w:rPr>
      <w:rFonts w:ascii="Tahoma" w:hAnsi="Tahoma"/>
      <w:sz w:val="16"/>
      <w:szCs w:val="16"/>
    </w:rPr>
  </w:style>
  <w:style w:type="paragraph" w:styleId="Antrats">
    <w:name w:val="header"/>
    <w:basedOn w:val="prastasis"/>
  </w:style>
  <w:style w:type="paragraph" w:styleId="Porat">
    <w:name w:val="footer"/>
    <w:basedOn w:val="prastasis"/>
  </w:style>
  <w:style w:type="paragraph" w:styleId="Betarp">
    <w:name w:val="No Spacing"/>
    <w:qFormat/>
    <w:pPr>
      <w:suppressAutoHyphens/>
    </w:pPr>
    <w:rPr>
      <w:rFonts w:ascii="Times New Roman" w:eastAsia="Times New Roman" w:hAnsi="Times New Roman" w:cs="Times New Roman"/>
      <w:color w:val="00000A"/>
      <w:sz w:val="24"/>
      <w:lang w:val="en-GB" w:bidi="ar-SA"/>
    </w:rPr>
  </w:style>
  <w:style w:type="paragraph" w:styleId="Pagrindiniotekstotrauka">
    <w:name w:val="Body Text Indent"/>
    <w:basedOn w:val="prastasis"/>
    <w:pPr>
      <w:widowControl/>
      <w:suppressAutoHyphens w:val="0"/>
      <w:ind w:firstLine="720"/>
    </w:pPr>
    <w:rPr>
      <w:rFonts w:ascii="Times New Roman" w:hAnsi="Times New Roman" w:cs="Times New Roman"/>
      <w:lang w:val="en-GB"/>
    </w:rPr>
  </w:style>
  <w:style w:type="paragraph" w:customStyle="1" w:styleId="Pagrindinistekstas31">
    <w:name w:val="Pagrindinis tekstas 31"/>
    <w:basedOn w:val="prastasis"/>
    <w:qFormat/>
    <w:pPr>
      <w:widowControl/>
      <w:suppressAutoHyphens w:val="0"/>
      <w:spacing w:after="120"/>
    </w:pPr>
    <w:rPr>
      <w:rFonts w:ascii="Times New Roman" w:hAnsi="Times New Roman"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agrindinistekstas32">
    <w:name w:val="Pagrindinis tekstas 32"/>
    <w:basedOn w:val="prastasis"/>
    <w:qFormat/>
    <w:pPr>
      <w:spacing w:after="120"/>
    </w:pPr>
    <w:rPr>
      <w:sz w:val="16"/>
      <w:szCs w:val="16"/>
    </w:rPr>
  </w:style>
  <w:style w:type="paragraph" w:customStyle="1" w:styleId="p0">
    <w:name w:val="p0"/>
    <w:basedOn w:val="prastasis"/>
    <w:qFormat/>
    <w:pPr>
      <w:widowControl/>
      <w:suppressAutoHyphens w:val="0"/>
    </w:pPr>
    <w:rPr>
      <w:rFonts w:ascii="Times New Roman" w:hAnsi="Times New Roman" w:cs="Times New Roman"/>
    </w:rPr>
  </w:style>
  <w:style w:type="paragraph" w:customStyle="1" w:styleId="Nurodytoformatotekstas">
    <w:name w:val="Nurodyto formato tekstas"/>
    <w:basedOn w:val="prastasis"/>
    <w:qFormat/>
    <w:rPr>
      <w:rFonts w:ascii="Liberation Mono" w:eastAsia="NSimSun"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6262</Words>
  <Characters>3570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DĖL PRITARIMO DALYVAUTI PROJEKTE "JUKNAIČIŲ SAVARANKIŠKO GYVENIMO NAMŲ DALIES PASTATO SUTVARKYMAS"</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DALYVAUTI PROJEKTE "JUKNAIČIŲ SAVARANKIŠKO GYVENIMO NAMŲ DALIES PASTATO SUTVARKYMAS"</dc:title>
  <dc:subject>T1-412</dc:subject>
  <dc:creator>ŠILUTĖS RAJONO SAVIVALDYBĖS TARYBA</dc:creator>
  <dc:description/>
  <cp:lastModifiedBy>Pletra_AS</cp:lastModifiedBy>
  <cp:revision>35</cp:revision>
  <cp:lastPrinted>2019-06-13T08:13:00Z</cp:lastPrinted>
  <dcterms:created xsi:type="dcterms:W3CDTF">2017-01-10T15:58:00Z</dcterms:created>
  <dcterms:modified xsi:type="dcterms:W3CDTF">2019-06-17T13:50:00Z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