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77E3" w:rsidRDefault="00C23C7E">
      <w:pPr>
        <w:pStyle w:val="Betarp"/>
        <w:ind w:left="6480" w:firstLine="1296"/>
      </w:pPr>
      <w:r>
        <w:rPr>
          <w:b/>
          <w:lang w:val="lt-LT"/>
        </w:rPr>
        <w:t xml:space="preserve">Projektas </w:t>
      </w:r>
    </w:p>
    <w:p w:rsidR="005A77E3" w:rsidRDefault="00C23C7E">
      <w:pPr>
        <w:pStyle w:val="Antrat2"/>
        <w:numPr>
          <w:ilvl w:val="1"/>
          <w:numId w:val="1"/>
        </w:numPr>
        <w:jc w:val="center"/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ŠILUTĖS RAJONO SAVIVALDYBĖS TARYBA</w:t>
      </w:r>
    </w:p>
    <w:p w:rsidR="005A77E3" w:rsidRDefault="005A77E3">
      <w:pPr>
        <w:rPr>
          <w:i/>
          <w:color w:val="000000"/>
        </w:rPr>
      </w:pPr>
    </w:p>
    <w:p w:rsidR="005A77E3" w:rsidRDefault="005A77E3">
      <w:pPr>
        <w:rPr>
          <w:i/>
          <w:color w:val="000000"/>
        </w:rPr>
      </w:pPr>
    </w:p>
    <w:p w:rsidR="005A77E3" w:rsidRDefault="005A77E3"/>
    <w:p w:rsidR="005A77E3" w:rsidRDefault="005A77E3"/>
    <w:p w:rsidR="005A77E3" w:rsidRDefault="005A77E3"/>
    <w:p w:rsidR="005A77E3" w:rsidRDefault="00C23C7E">
      <w:pPr>
        <w:jc w:val="center"/>
      </w:pPr>
      <w:r>
        <w:rPr>
          <w:b/>
          <w:color w:val="000000"/>
        </w:rPr>
        <w:t>SPRENDIMAS</w:t>
      </w:r>
    </w:p>
    <w:p w:rsidR="005A77E3" w:rsidRDefault="00C23C7E">
      <w:pPr>
        <w:jc w:val="center"/>
      </w:pPr>
      <w:r>
        <w:rPr>
          <w:b/>
        </w:rPr>
        <w:t xml:space="preserve">DĖL IŠLAIDŲ MAITINIMUI, MEDIKAMENTAMS, PATALYNEI IR APRANGAI 2019 METŲ FINANSINIŲ NORMATYVŲ NUSTATYMO ŠILUTĖS RAJONO SAVIVALDYBĖS SOCIALINIŲ PASLAUGŲ ĮSTAIGOSE </w:t>
      </w:r>
    </w:p>
    <w:p w:rsidR="005A77E3" w:rsidRDefault="005A77E3">
      <w:pPr>
        <w:jc w:val="center"/>
        <w:rPr>
          <w:b/>
        </w:rPr>
      </w:pPr>
    </w:p>
    <w:p w:rsidR="005A77E3" w:rsidRDefault="00C23C7E">
      <w:pPr>
        <w:pStyle w:val="Betarp"/>
        <w:jc w:val="center"/>
      </w:pPr>
      <w:r>
        <w:rPr>
          <w:lang w:val="pl-PL"/>
        </w:rPr>
        <w:t>2018 m</w:t>
      </w:r>
      <w:r>
        <w:rPr>
          <w:lang w:val="lt-LT"/>
        </w:rPr>
        <w:t>. gruodž</w:t>
      </w:r>
      <w:proofErr w:type="gramStart"/>
      <w:r>
        <w:rPr>
          <w:lang w:val="lt-LT"/>
        </w:rPr>
        <w:t>io   d</w:t>
      </w:r>
      <w:proofErr w:type="gramEnd"/>
      <w:r>
        <w:rPr>
          <w:lang w:val="lt-LT"/>
        </w:rPr>
        <w:t>. Nr. T1-</w:t>
      </w:r>
    </w:p>
    <w:p w:rsidR="005A77E3" w:rsidRDefault="00C23C7E">
      <w:pPr>
        <w:pStyle w:val="Betarp"/>
        <w:jc w:val="center"/>
      </w:pPr>
      <w:r>
        <w:rPr>
          <w:lang w:val="lt-LT"/>
        </w:rPr>
        <w:t>Šilutė</w:t>
      </w:r>
    </w:p>
    <w:p w:rsidR="005A77E3" w:rsidRDefault="005A77E3">
      <w:pPr>
        <w:pStyle w:val="Betarp"/>
        <w:jc w:val="both"/>
        <w:rPr>
          <w:lang w:val="pl-PL"/>
        </w:rPr>
      </w:pPr>
    </w:p>
    <w:p w:rsidR="005A77E3" w:rsidRDefault="00C23C7E">
      <w:pPr>
        <w:pStyle w:val="Betarp"/>
        <w:ind w:firstLine="720"/>
        <w:jc w:val="both"/>
      </w:pPr>
      <w:r>
        <w:rPr>
          <w:lang w:val="lt-LT"/>
        </w:rPr>
        <w:t xml:space="preserve">Vadovaudamasi Vietos savivaldos įstatymo 16 straipsnio 2 dalies 37 punktu, Šilutės rajono savivaldybės taryba  </w:t>
      </w:r>
      <w:r>
        <w:rPr>
          <w:spacing w:val="100"/>
          <w:lang w:val="lt-LT"/>
        </w:rPr>
        <w:t>nusprendži</w:t>
      </w:r>
      <w:r>
        <w:rPr>
          <w:lang w:val="lt-LT"/>
        </w:rPr>
        <w:t>a: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>1.</w:t>
      </w:r>
      <w:r>
        <w:tab/>
        <w:t>Tvirtinti šiuos 2019 metų finansinius normatyvus socialinių paslaugų įstaigose: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>1.1. Maitinimo išlaidų finansinius normat</w:t>
      </w:r>
      <w:r>
        <w:t>yvus vienam asmeniui per parą: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ab/>
        <w:t xml:space="preserve">1.1.1. Šilutės senelių globos namuose – 3,50 </w:t>
      </w:r>
      <w:proofErr w:type="spellStart"/>
      <w:r>
        <w:t>Eur</w:t>
      </w:r>
      <w:proofErr w:type="spellEnd"/>
      <w:r>
        <w:t>.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ab/>
        <w:t>1.1.2. Saugų vaikų globos namuose: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ab/>
        <w:t xml:space="preserve">1.1.2.1. ikimokyklinio amžiaus vaikams – 5,00 </w:t>
      </w:r>
      <w:proofErr w:type="spellStart"/>
      <w:r>
        <w:t>Eur</w:t>
      </w:r>
      <w:proofErr w:type="spellEnd"/>
      <w:r>
        <w:t xml:space="preserve">; 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ab/>
        <w:t xml:space="preserve">1.1.2.2.  mokyklinio amžiaus vaikams – 5,00 </w:t>
      </w:r>
      <w:proofErr w:type="spellStart"/>
      <w:r>
        <w:t>Eur</w:t>
      </w:r>
      <w:proofErr w:type="spellEnd"/>
      <w:r>
        <w:t>;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ab/>
        <w:t>1.1.3. Šilutės socialinių paslaugų</w:t>
      </w:r>
      <w:r>
        <w:t xml:space="preserve"> centre – 3,50 </w:t>
      </w:r>
      <w:proofErr w:type="spellStart"/>
      <w:r>
        <w:t>Eur</w:t>
      </w:r>
      <w:proofErr w:type="spellEnd"/>
      <w:r>
        <w:t>.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>1.2. Išlaidų medikamentams ir slaugos priemonėms finansinius normatyvus vienam asmeniui per parą: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 xml:space="preserve">1.2.1. Šilutės senelių globos namuose –  3,30 </w:t>
      </w:r>
      <w:proofErr w:type="spellStart"/>
      <w:r>
        <w:t>Eur</w:t>
      </w:r>
      <w:proofErr w:type="spellEnd"/>
      <w:r>
        <w:t xml:space="preserve">, iš jų: 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20"/>
        <w:jc w:val="both"/>
      </w:pPr>
      <w:r>
        <w:t xml:space="preserve">1.2.1.1. medikamentams – 0,68 </w:t>
      </w:r>
      <w:proofErr w:type="spellStart"/>
      <w:r>
        <w:t>Eur</w:t>
      </w:r>
      <w:proofErr w:type="spellEnd"/>
      <w:r>
        <w:t>;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20"/>
        <w:jc w:val="both"/>
      </w:pPr>
      <w:r>
        <w:t xml:space="preserve">1.2.1.2. slaugos priemonėms – 2,23 </w:t>
      </w:r>
      <w:proofErr w:type="spellStart"/>
      <w:r>
        <w:t>Eur</w:t>
      </w:r>
      <w:proofErr w:type="spellEnd"/>
      <w:r>
        <w:t xml:space="preserve">; 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20"/>
        <w:jc w:val="both"/>
      </w:pPr>
      <w:r>
        <w:t xml:space="preserve">1.2.1.3. asmens higienos priemonėms – 0,39 </w:t>
      </w:r>
      <w:proofErr w:type="spellStart"/>
      <w:r>
        <w:t>Eur</w:t>
      </w:r>
      <w:proofErr w:type="spellEnd"/>
      <w:r>
        <w:t>;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 xml:space="preserve">1.2.2. Saugų vaikų globos namuose medikamentams – 0,30 </w:t>
      </w:r>
      <w:proofErr w:type="spellStart"/>
      <w:r>
        <w:t>Eur</w:t>
      </w:r>
      <w:proofErr w:type="spellEnd"/>
      <w:r>
        <w:t xml:space="preserve">. 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>1.3. Išlaidų patalynei finansinius normatyvus vienam asmeniui per metus: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 xml:space="preserve">1.3.1. Šilutės senelių globos namuose – 65,00 </w:t>
      </w:r>
      <w:proofErr w:type="spellStart"/>
      <w:r>
        <w:t>Eur</w:t>
      </w:r>
      <w:proofErr w:type="spellEnd"/>
      <w:r>
        <w:t>;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>1.3.2. Saugų vaikų glob</w:t>
      </w:r>
      <w:r>
        <w:t xml:space="preserve">os namuose –  11,60 </w:t>
      </w:r>
      <w:proofErr w:type="spellStart"/>
      <w:r>
        <w:t>Eur</w:t>
      </w:r>
      <w:proofErr w:type="spellEnd"/>
      <w:r>
        <w:t xml:space="preserve">. 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>1.4. Išlaidų aprangai finansinius normatyvus vienam asmeniui per metus: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 xml:space="preserve">1.4.1. Šilutės senelių globos namuose – 43,00 </w:t>
      </w:r>
      <w:proofErr w:type="spellStart"/>
      <w:r>
        <w:t>Eur</w:t>
      </w:r>
      <w:proofErr w:type="spellEnd"/>
      <w:r>
        <w:t>;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 xml:space="preserve">1.4.2. Saugų vaikų globos namuose –   228,40 </w:t>
      </w:r>
      <w:proofErr w:type="spellStart"/>
      <w:r>
        <w:t>Eur</w:t>
      </w:r>
      <w:proofErr w:type="spellEnd"/>
      <w:r>
        <w:t xml:space="preserve">. 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>2. Šis sprendimas įsigalioja nuo 2019 m. sausio 1 d.</w:t>
      </w:r>
    </w:p>
    <w:p w:rsidR="005A77E3" w:rsidRDefault="00C23C7E">
      <w:pPr>
        <w:tabs>
          <w:tab w:val="left" w:pos="0"/>
          <w:tab w:val="left" w:pos="720"/>
          <w:tab w:val="left" w:pos="993"/>
        </w:tabs>
        <w:ind w:firstLine="709"/>
        <w:jc w:val="both"/>
      </w:pPr>
      <w:r>
        <w:t xml:space="preserve">3. </w:t>
      </w:r>
      <w:r>
        <w:t xml:space="preserve">Pavesti Šilutės rajono savivaldybės administracijai paskelbti šį sprendimą Savivaldybės interneto svetainėje </w:t>
      </w:r>
      <w:proofErr w:type="spellStart"/>
      <w:r>
        <w:t>www.silute.lt</w:t>
      </w:r>
      <w:proofErr w:type="spellEnd"/>
      <w:r>
        <w:t>.</w:t>
      </w:r>
    </w:p>
    <w:p w:rsidR="005A77E3" w:rsidRDefault="005A77E3">
      <w:pPr>
        <w:jc w:val="both"/>
      </w:pPr>
    </w:p>
    <w:p w:rsidR="005A77E3" w:rsidRDefault="00C23C7E">
      <w:pPr>
        <w:jc w:val="both"/>
      </w:pPr>
      <w:r>
        <w:t>Savivaldybės meras</w:t>
      </w:r>
    </w:p>
    <w:p w:rsidR="005A77E3" w:rsidRDefault="005A77E3">
      <w:pPr>
        <w:jc w:val="both"/>
      </w:pPr>
    </w:p>
    <w:p w:rsidR="005A77E3" w:rsidRDefault="00C23C7E">
      <w:pPr>
        <w:jc w:val="both"/>
      </w:pPr>
      <w:r>
        <w:t xml:space="preserve">Virgilijus Pozingis        </w:t>
      </w:r>
      <w:r>
        <w:tab/>
      </w:r>
    </w:p>
    <w:p w:rsidR="005A77E3" w:rsidRDefault="00C23C7E">
      <w:pPr>
        <w:jc w:val="both"/>
      </w:pPr>
      <w:r>
        <w:t xml:space="preserve">2018-12-                       </w:t>
      </w:r>
    </w:p>
    <w:p w:rsidR="005A77E3" w:rsidRDefault="00C23C7E">
      <w:pPr>
        <w:jc w:val="both"/>
      </w:pPr>
      <w:r>
        <w:t xml:space="preserve">       </w:t>
      </w:r>
    </w:p>
    <w:tbl>
      <w:tblPr>
        <w:tblW w:w="9718" w:type="dxa"/>
        <w:tblLook w:val="0000" w:firstRow="0" w:lastRow="0" w:firstColumn="0" w:lastColumn="0" w:noHBand="0" w:noVBand="0"/>
      </w:tblPr>
      <w:tblGrid>
        <w:gridCol w:w="2585"/>
        <w:gridCol w:w="2275"/>
        <w:gridCol w:w="2429"/>
        <w:gridCol w:w="2429"/>
      </w:tblGrid>
      <w:tr w:rsidR="005A77E3">
        <w:trPr>
          <w:trHeight w:val="564"/>
        </w:trPr>
        <w:tc>
          <w:tcPr>
            <w:tcW w:w="2584" w:type="dxa"/>
            <w:shd w:val="clear" w:color="auto" w:fill="auto"/>
          </w:tcPr>
          <w:p w:rsidR="005A77E3" w:rsidRDefault="00C23C7E">
            <w:pPr>
              <w:jc w:val="both"/>
            </w:pPr>
            <w:proofErr w:type="spellStart"/>
            <w:r>
              <w:t>Alvidas</w:t>
            </w:r>
            <w:proofErr w:type="spellEnd"/>
            <w:r>
              <w:t xml:space="preserve"> </w:t>
            </w:r>
            <w:proofErr w:type="spellStart"/>
            <w:r>
              <w:t>Šimelionis</w:t>
            </w:r>
            <w:proofErr w:type="spellEnd"/>
          </w:p>
          <w:p w:rsidR="005A77E3" w:rsidRDefault="00C23C7E">
            <w:pPr>
              <w:jc w:val="both"/>
            </w:pPr>
            <w:r>
              <w:t xml:space="preserve">  2018-12-05           </w:t>
            </w:r>
            <w:r>
              <w:t xml:space="preserve">    </w:t>
            </w:r>
          </w:p>
        </w:tc>
        <w:tc>
          <w:tcPr>
            <w:tcW w:w="2275" w:type="dxa"/>
            <w:shd w:val="clear" w:color="auto" w:fill="auto"/>
          </w:tcPr>
          <w:p w:rsidR="005A77E3" w:rsidRDefault="00C23C7E">
            <w:pPr>
              <w:jc w:val="both"/>
            </w:pPr>
            <w:r>
              <w:t>Arvydas Bielskis</w:t>
            </w:r>
          </w:p>
          <w:p w:rsidR="005A77E3" w:rsidRDefault="00C23C7E">
            <w:pPr>
              <w:jc w:val="both"/>
            </w:pPr>
            <w:r>
              <w:t>2018-12-05(G)</w:t>
            </w:r>
          </w:p>
        </w:tc>
        <w:tc>
          <w:tcPr>
            <w:tcW w:w="2429" w:type="dxa"/>
            <w:shd w:val="clear" w:color="auto" w:fill="auto"/>
          </w:tcPr>
          <w:p w:rsidR="005A77E3" w:rsidRDefault="00C23C7E">
            <w:pPr>
              <w:jc w:val="both"/>
            </w:pPr>
            <w:r>
              <w:t>Vita Stulgienė</w:t>
            </w:r>
          </w:p>
          <w:p w:rsidR="005A77E3" w:rsidRDefault="00C23C7E">
            <w:pPr>
              <w:jc w:val="both"/>
            </w:pPr>
            <w:r>
              <w:t>2018-12-05</w:t>
            </w:r>
          </w:p>
        </w:tc>
        <w:tc>
          <w:tcPr>
            <w:tcW w:w="2429" w:type="dxa"/>
            <w:shd w:val="clear" w:color="auto" w:fill="auto"/>
          </w:tcPr>
          <w:p w:rsidR="005A77E3" w:rsidRDefault="005A77E3">
            <w:pPr>
              <w:jc w:val="both"/>
            </w:pPr>
          </w:p>
          <w:p w:rsidR="005A77E3" w:rsidRDefault="005A77E3">
            <w:pPr>
              <w:jc w:val="both"/>
            </w:pPr>
          </w:p>
        </w:tc>
      </w:tr>
    </w:tbl>
    <w:p w:rsidR="005A77E3" w:rsidRDefault="005A77E3">
      <w:pPr>
        <w:jc w:val="both"/>
      </w:pPr>
    </w:p>
    <w:p w:rsidR="005A77E3" w:rsidRDefault="00C23C7E">
      <w:pPr>
        <w:jc w:val="both"/>
      </w:pPr>
      <w:r>
        <w:t>Parengė</w:t>
      </w:r>
    </w:p>
    <w:p w:rsidR="005A77E3" w:rsidRDefault="00C23C7E">
      <w:pPr>
        <w:jc w:val="both"/>
      </w:pPr>
      <w:r>
        <w:t>Vida Rimkutė</w:t>
      </w:r>
    </w:p>
    <w:p w:rsidR="005A77E3" w:rsidRDefault="00C23C7E">
      <w:pPr>
        <w:jc w:val="both"/>
      </w:pPr>
      <w:r>
        <w:t xml:space="preserve">2018-12-04    </w:t>
      </w:r>
    </w:p>
    <w:p w:rsidR="005A77E3" w:rsidRDefault="00C23C7E">
      <w:pPr>
        <w:jc w:val="right"/>
      </w:pPr>
      <w:hyperlink r:id="rId6">
        <w:r>
          <w:rPr>
            <w:rStyle w:val="Aplankytasinternetosaitas"/>
            <w:sz w:val="20"/>
            <w:szCs w:val="20"/>
          </w:rPr>
          <w:t>P:\Tarybos_projektai_2011-2018\2018_metai\2018-12-20\SOC01sKJGV.docx</w:t>
        </w:r>
      </w:hyperlink>
    </w:p>
    <w:p w:rsidR="005A77E3" w:rsidRDefault="005A77E3">
      <w:pPr>
        <w:jc w:val="both"/>
      </w:pPr>
    </w:p>
    <w:p w:rsidR="005A77E3" w:rsidRDefault="00C23C7E">
      <w:pPr>
        <w:pStyle w:val="Antrinispavadinimas1"/>
      </w:pPr>
      <w:r>
        <w:t>AIŠKINAMASIS RAŠTAS</w:t>
      </w:r>
    </w:p>
    <w:p w:rsidR="005A77E3" w:rsidRDefault="00C23C7E">
      <w:pPr>
        <w:jc w:val="center"/>
        <w:rPr>
          <w:b/>
        </w:rPr>
      </w:pPr>
      <w:r>
        <w:rPr>
          <w:b/>
        </w:rPr>
        <w:t>„DĖL IŠLAIDŲ MAITINIMUI, MEDIKAMENTAMS, PATALYNEI IR APRANGAI 2019 METŲ FINANSINIŲ NORMATYVŲ NUSTATYMO ŠILUTĖS RAJONO SAVIVALDYBĖS SOCIALINIŲ PASLAUGŲ ĮSTAIGOSE“</w:t>
      </w:r>
    </w:p>
    <w:p w:rsidR="005A77E3" w:rsidRDefault="00C23C7E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5A77E3" w:rsidRDefault="00C23C7E">
      <w:pPr>
        <w:jc w:val="center"/>
      </w:pPr>
      <w:r>
        <w:rPr>
          <w:color w:val="000000"/>
        </w:rPr>
        <w:t>20</w:t>
      </w:r>
      <w:r>
        <w:rPr>
          <w:color w:val="000000"/>
        </w:rPr>
        <w:t>19 m. gruodžio  4  d.</w:t>
      </w:r>
    </w:p>
    <w:p w:rsidR="005A77E3" w:rsidRDefault="00C23C7E">
      <w:pPr>
        <w:jc w:val="center"/>
      </w:pPr>
      <w:r>
        <w:rPr>
          <w:color w:val="000000"/>
        </w:rPr>
        <w:t>Šilutė</w:t>
      </w:r>
    </w:p>
    <w:p w:rsidR="005A77E3" w:rsidRDefault="005A77E3">
      <w:pPr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9854"/>
      </w:tblGrid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</w:pPr>
            <w:r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Atsižvelgiant į vartojimo prekių ir paslaugų kainų pokyčius, patvirtinti išlaidų maitinimui, medikamentams, patalynei ir aprangai finansinius normatyvus 2019 metų Šilutės rajono </w:t>
            </w:r>
            <w:r>
              <w:rPr>
                <w:color w:val="000000"/>
              </w:rPr>
              <w:t>savivaldybės socialinių paslaugų įstaigose: Šilutės senelių globos namuose, Saugų vaikų globos namuose ir Šilutės socialinių paslaugų centre.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</w:pPr>
            <w:r>
              <w:rPr>
                <w:b/>
                <w:bCs/>
                <w:i/>
                <w:iCs/>
              </w:rPr>
              <w:t>2. Kaip šiuo metu yra sureguliuoti projekte aptarti klausimai.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tabs>
                <w:tab w:val="left" w:pos="0"/>
                <w:tab w:val="left" w:pos="720"/>
                <w:tab w:val="left" w:pos="993"/>
              </w:tabs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Šiuo metu galioja Šilutės rajono savivaldybės tar</w:t>
            </w:r>
            <w:r>
              <w:rPr>
                <w:color w:val="000000"/>
              </w:rPr>
              <w:t>ybos 2017 m. gruodžio 21 d. sprendimas Nr. T1-864 „Dėl išlaidų maitinimui, medikamentams, patalynei ir aprangai 2018 metų finansinių normatyvų nustatymo Šilutės rajono socialinės globos įstaigose“, kuriuo patvirtinti finansiniai  normatyvai socialinės glob</w:t>
            </w:r>
            <w:r>
              <w:rPr>
                <w:color w:val="000000"/>
              </w:rPr>
              <w:t>os įstaigose 2018 metams.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</w:pPr>
            <w:r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  <w:jc w:val="both"/>
              <w:rPr>
                <w:color w:val="800000"/>
              </w:rPr>
            </w:pPr>
            <w:r>
              <w:rPr>
                <w:color w:val="000000"/>
              </w:rPr>
              <w:t xml:space="preserve">Patvirtinus </w:t>
            </w:r>
            <w:r>
              <w:rPr>
                <w:color w:val="000000"/>
                <w:lang w:eastAsia="lt-LT"/>
              </w:rPr>
              <w:t>išlaidų maitinimui, medikamentams, patalynei ir aprangai normatyvus bus vykdomi Socialinių paslaugų lėšų apskaičiavimo metodikos reikalavimai, kadangi tai lemia socialinės globo</w:t>
            </w:r>
            <w:r>
              <w:rPr>
                <w:color w:val="000000"/>
                <w:lang w:eastAsia="lt-LT"/>
              </w:rPr>
              <w:t>s kainos dydžio nustatymą. Įstaigoms skirtos lėšos bus racionaliai paskirstytos ir panaudotos.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</w:pPr>
            <w:r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  <w:jc w:val="both"/>
            </w:pPr>
            <w:r>
              <w:t>Nėra.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  <w:jc w:val="both"/>
            </w:pPr>
            <w:r>
              <w:rPr>
                <w:b/>
                <w:bCs/>
                <w:i/>
                <w:iCs/>
              </w:rPr>
              <w:t>5. Kokie šios srities aktai tebegalio</w:t>
            </w:r>
            <w:r>
              <w:rPr>
                <w:b/>
                <w:bCs/>
                <w:i/>
                <w:iCs/>
              </w:rPr>
              <w:t>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tabs>
                <w:tab w:val="left" w:pos="0"/>
                <w:tab w:val="left" w:pos="720"/>
                <w:tab w:val="left" w:pos="993"/>
              </w:tabs>
              <w:ind w:firstLine="851"/>
              <w:jc w:val="both"/>
            </w:pPr>
            <w:r>
              <w:t>Nėra.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  <w:jc w:val="both"/>
            </w:pPr>
            <w:r>
              <w:rPr>
                <w:b/>
                <w:bCs/>
                <w:i/>
                <w:iCs/>
              </w:rPr>
              <w:t xml:space="preserve">6. Jeigu reikia atlikti sprendimo projekto </w:t>
            </w:r>
            <w:r>
              <w:rPr>
                <w:b/>
                <w:bCs/>
                <w:i/>
                <w:iCs/>
              </w:rPr>
              <w:t>antikorupcinį vertinimą, sprendžia projekto rengėjas, atsižvelgdamas į Teisės aktų projektų antikorupcinio vertinimo taisykles.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tabs>
                <w:tab w:val="left" w:pos="142"/>
              </w:tabs>
              <w:ind w:firstLine="851"/>
              <w:jc w:val="both"/>
            </w:pPr>
            <w:hyperlink r:id="rId7" w:history="1">
              <w:r w:rsidRPr="00C23C7E">
                <w:rPr>
                  <w:rStyle w:val="Hipersaitas"/>
                  <w:lang w:eastAsia="lt-LT"/>
                </w:rPr>
                <w:t xml:space="preserve">Antikorupcinio </w:t>
              </w:r>
              <w:r w:rsidRPr="00C23C7E">
                <w:rPr>
                  <w:rStyle w:val="Hipersaitas"/>
                  <w:lang w:eastAsia="lt-LT"/>
                </w:rPr>
                <w:t>vertini</w:t>
              </w:r>
              <w:bookmarkStart w:id="0" w:name="_GoBack"/>
              <w:r w:rsidRPr="00C23C7E">
                <w:rPr>
                  <w:rStyle w:val="Hipersaitas"/>
                  <w:lang w:eastAsia="lt-LT"/>
                </w:rPr>
                <w:t>m</w:t>
              </w:r>
              <w:bookmarkEnd w:id="0"/>
              <w:r w:rsidRPr="00C23C7E">
                <w:rPr>
                  <w:rStyle w:val="Hipersaitas"/>
                  <w:lang w:eastAsia="lt-LT"/>
                </w:rPr>
                <w:t>o reikia. Pridedama</w:t>
              </w:r>
            </w:hyperlink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  <w:jc w:val="both"/>
            </w:pPr>
            <w:r>
              <w:rPr>
                <w:b/>
                <w:bCs/>
                <w:i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  <w:jc w:val="both"/>
            </w:pPr>
            <w:r>
              <w:rPr>
                <w:lang w:eastAsia="lt-LT"/>
              </w:rPr>
              <w:t xml:space="preserve">Išlaidų maitinimui, medikamentams, patalynei ir aprangai normatyvus rengė socialinių paslaugų įstaigų vadovai ir specialistai, vadovaudamiesi </w:t>
            </w:r>
            <w:r>
              <w:t xml:space="preserve">Lietuvos Respublikos Vyriausybės 2006 m. spalio 10 d. nutarimu Nr. 978 patvirtinta </w:t>
            </w:r>
            <w:hyperlink r:id="rId8">
              <w:r>
                <w:rPr>
                  <w:rStyle w:val="Internetosaitas"/>
                  <w:color w:val="00000A"/>
                  <w:u w:val="none"/>
                  <w:lang w:eastAsia="lt-LT"/>
                </w:rPr>
                <w:t>Socialinių paslaugų finansavimo ir lėšų apskaičiavimo metodika.</w:t>
              </w:r>
            </w:hyperlink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</w:pPr>
            <w:r>
              <w:rPr>
                <w:b/>
                <w:bCs/>
                <w:i/>
                <w:iCs/>
              </w:rPr>
              <w:t>8. Projekto autorius ar autorių grupė.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  <w:jc w:val="both"/>
            </w:pPr>
            <w:r>
              <w:rPr>
                <w:bCs/>
              </w:rPr>
              <w:t>Projektą rengė</w:t>
            </w:r>
            <w:r>
              <w:rPr>
                <w:bCs/>
              </w:rPr>
              <w:t xml:space="preserve"> Socialinės paramos skyriaus Socialinių paslaugų poskyrio vyriausioji specialistė Vida Rimkutė. </w:t>
            </w:r>
            <w:r>
              <w:rPr>
                <w:lang w:eastAsia="lt-LT"/>
              </w:rPr>
              <w:t>Rengiant projektą išlaidų maitinimui, medikamentams, patalynei ir aprangai finansinių normatyvų 2019 metams apskaičiavimą svarstymuose dalyvavo Socialinės param</w:t>
            </w:r>
            <w:r>
              <w:rPr>
                <w:lang w:eastAsia="lt-LT"/>
              </w:rPr>
              <w:t xml:space="preserve">os skyriaus vedėjas </w:t>
            </w:r>
            <w:proofErr w:type="spellStart"/>
            <w:r>
              <w:rPr>
                <w:lang w:eastAsia="lt-LT"/>
              </w:rPr>
              <w:t>Alvidas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Šimelionis</w:t>
            </w:r>
            <w:proofErr w:type="spellEnd"/>
            <w:r>
              <w:rPr>
                <w:lang w:eastAsia="lt-LT"/>
              </w:rPr>
              <w:t xml:space="preserve">, Socialinių paslaugų poskyrio vyriausioji specialistė Loreta Valienė,  </w:t>
            </w:r>
            <w:hyperlink r:id="rId9">
              <w:r>
                <w:rPr>
                  <w:rStyle w:val="Aplankytasinternetosaitas"/>
                  <w:lang w:eastAsia="lt-LT"/>
                </w:rPr>
                <w:t xml:space="preserve">Šilutės senelių globos namų </w:t>
              </w:r>
            </w:hyperlink>
            <w:r>
              <w:rPr>
                <w:lang w:eastAsia="lt-LT"/>
              </w:rPr>
              <w:t>direktorė Evelina Ba</w:t>
            </w:r>
            <w:r>
              <w:rPr>
                <w:lang w:eastAsia="lt-LT"/>
              </w:rPr>
              <w:t xml:space="preserve">landė ir buhalterė Laima </w:t>
            </w:r>
            <w:proofErr w:type="spellStart"/>
            <w:r>
              <w:rPr>
                <w:lang w:eastAsia="lt-LT"/>
              </w:rPr>
              <w:t>Bičiužienė</w:t>
            </w:r>
            <w:proofErr w:type="spellEnd"/>
            <w:r>
              <w:rPr>
                <w:lang w:eastAsia="lt-LT"/>
              </w:rPr>
              <w:t xml:space="preserve">, </w:t>
            </w:r>
            <w:hyperlink r:id="rId10">
              <w:r>
                <w:rPr>
                  <w:rStyle w:val="Internetosaitas"/>
                  <w:lang w:eastAsia="lt-LT"/>
                </w:rPr>
                <w:t>Šilutės socialinių paslaugų centro</w:t>
              </w:r>
            </w:hyperlink>
            <w:r>
              <w:rPr>
                <w:lang w:eastAsia="lt-LT"/>
              </w:rPr>
              <w:t xml:space="preserve"> direktorė Reda </w:t>
            </w:r>
            <w:proofErr w:type="spellStart"/>
            <w:r>
              <w:rPr>
                <w:lang w:eastAsia="lt-LT"/>
              </w:rPr>
              <w:t>Urbaitytė</w:t>
            </w:r>
            <w:proofErr w:type="spellEnd"/>
            <w:r>
              <w:rPr>
                <w:lang w:eastAsia="lt-LT"/>
              </w:rPr>
              <w:t xml:space="preserve"> ir buhalterė Renata Macijauskienė, </w:t>
            </w:r>
            <w:hyperlink r:id="rId11">
              <w:r>
                <w:rPr>
                  <w:rStyle w:val="Internetosaitas"/>
                  <w:lang w:eastAsia="lt-LT"/>
                </w:rPr>
                <w:t>Saugų vaikų globos namų</w:t>
              </w:r>
            </w:hyperlink>
            <w:r>
              <w:rPr>
                <w:lang w:eastAsia="lt-LT"/>
              </w:rPr>
              <w:t xml:space="preserve"> direktorius Eugenijus </w:t>
            </w:r>
            <w:proofErr w:type="spellStart"/>
            <w:r>
              <w:rPr>
                <w:lang w:eastAsia="lt-LT"/>
              </w:rPr>
              <w:t>Judeikis</w:t>
            </w:r>
            <w:proofErr w:type="spellEnd"/>
            <w:r>
              <w:rPr>
                <w:lang w:eastAsia="lt-LT"/>
              </w:rPr>
              <w:t xml:space="preserve"> ir buhalterė Danguolė </w:t>
            </w:r>
            <w:proofErr w:type="spellStart"/>
            <w:r>
              <w:rPr>
                <w:lang w:eastAsia="lt-LT"/>
              </w:rPr>
              <w:t>Rimgailienė</w:t>
            </w:r>
            <w:proofErr w:type="spellEnd"/>
            <w:r>
              <w:rPr>
                <w:lang w:eastAsia="lt-LT"/>
              </w:rPr>
              <w:t>.</w:t>
            </w:r>
          </w:p>
          <w:p w:rsidR="005A77E3" w:rsidRDefault="00C23C7E">
            <w:pPr>
              <w:ind w:firstLine="851"/>
              <w:jc w:val="both"/>
              <w:rPr>
                <w:color w:val="0070C0"/>
              </w:rPr>
            </w:pPr>
            <w:r>
              <w:rPr>
                <w:bCs/>
              </w:rPr>
              <w:t>Papildomą medžiagą paruošė ir pateikė</w:t>
            </w:r>
            <w:r>
              <w:t xml:space="preserve"> Šilutės rajono socialinių paslaugų įstaigų vadovai ir bu</w:t>
            </w:r>
            <w:r>
              <w:t>halteriai, atsižvelgdami į lėšų sąnaudas per 2019 metus.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snapToGrid w:val="0"/>
              <w:ind w:firstLine="850"/>
            </w:pPr>
            <w:r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tabs>
                <w:tab w:val="left" w:pos="0"/>
              </w:tabs>
              <w:ind w:firstLine="851"/>
            </w:pPr>
            <w:r>
              <w:t>Socialinė globa, globos įstaiga, finansavimas iš biudžeto.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</w:pPr>
            <w:r>
              <w:rPr>
                <w:b/>
                <w:bCs/>
                <w:i/>
                <w:iCs/>
              </w:rPr>
              <w:lastRenderedPageBreak/>
              <w:t xml:space="preserve">10. Kiti, autorių nuomone, </w:t>
            </w:r>
            <w:r>
              <w:rPr>
                <w:b/>
                <w:bCs/>
                <w:i/>
                <w:iCs/>
              </w:rPr>
              <w:t>reikalingi pagrindimai ir paaiškinimai.</w:t>
            </w:r>
          </w:p>
        </w:tc>
      </w:tr>
      <w:tr w:rsidR="005A77E3">
        <w:tc>
          <w:tcPr>
            <w:tcW w:w="9854" w:type="dxa"/>
            <w:shd w:val="clear" w:color="auto" w:fill="auto"/>
          </w:tcPr>
          <w:p w:rsidR="005A77E3" w:rsidRDefault="00C23C7E">
            <w:pPr>
              <w:ind w:firstLine="851"/>
              <w:jc w:val="both"/>
              <w:textAlignment w:val="baseline"/>
            </w:pPr>
            <w:r>
              <w:t>Lietuvos Respublikos Vyriausybės 2006 m. spalio 10 d. nutarimo Nr. 978 „Dėl socialinių paslaugų finansavimo ir lėšų apskaičiavimo metodikos patvirtinimo“ 28 punktas reglamentuoja,  kad:</w:t>
            </w:r>
          </w:p>
          <w:p w:rsidR="005A77E3" w:rsidRDefault="00C23C7E">
            <w:pPr>
              <w:ind w:firstLine="851"/>
              <w:jc w:val="both"/>
              <w:textAlignment w:val="baseline"/>
            </w:pPr>
            <w:r>
              <w:t>1.</w:t>
            </w:r>
            <w:r>
              <w:rPr>
                <w:lang w:eastAsia="lt-LT"/>
              </w:rPr>
              <w:t xml:space="preserve"> Maitinimo išlaidos apskaič</w:t>
            </w:r>
            <w:r>
              <w:rPr>
                <w:lang w:eastAsia="lt-LT"/>
              </w:rPr>
              <w:t>iuojamos taikant sveikatos apsaugos ministro tvirtinamas Rekomenduojamas maisto produktų paros normas socialinę globą gaunantiems asmenims, atitinkančias Rekomenduojamas paros maistinių medžiagų ir energijos normas, patvirtintas sveikatos apsaugos ministro</w:t>
            </w:r>
            <w:r>
              <w:rPr>
                <w:lang w:eastAsia="lt-LT"/>
              </w:rPr>
              <w:t>.</w:t>
            </w:r>
          </w:p>
          <w:p w:rsidR="005A77E3" w:rsidRDefault="00C23C7E">
            <w:pPr>
              <w:suppressAutoHyphens w:val="0"/>
              <w:ind w:firstLine="851"/>
              <w:jc w:val="both"/>
              <w:textAlignment w:val="baseline"/>
            </w:pPr>
            <w:r>
              <w:rPr>
                <w:lang w:eastAsia="lt-LT"/>
              </w:rPr>
              <w:t>2. Maitinimo išlaidų, išlaidų medikamentams, patalynei ir aprangai finansiniai normatyvai ateinantiems metams kasmet iš naujo persvarstomi atsižvelgiant į Lietuvos statistikos departamento skelbiamą informaciją apie vartojimo prekių ir paslaugų kainų pok</w:t>
            </w:r>
            <w:r>
              <w:rPr>
                <w:lang w:eastAsia="lt-LT"/>
              </w:rPr>
              <w:t>yčius.</w:t>
            </w:r>
          </w:p>
          <w:p w:rsidR="005A77E3" w:rsidRDefault="00C23C7E">
            <w:pPr>
              <w:suppressAutoHyphens w:val="0"/>
              <w:ind w:firstLine="851"/>
              <w:jc w:val="both"/>
              <w:textAlignment w:val="baseline"/>
            </w:pPr>
            <w:r>
              <w:rPr>
                <w:lang w:eastAsia="lt-LT"/>
              </w:rPr>
              <w:t xml:space="preserve">Maitinimo išlaidų, išlaidų medikamentams, patalynei ir aprangai finansiniai normatyvai 2019 metams kito nežymiai. Saugų vaikų globos namų maitinimo normatyvas  didėjo 0,80 ct. Šilutės senelių globos namai 38,00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  <w:r>
              <w:rPr>
                <w:lang w:eastAsia="lt-LT"/>
              </w:rPr>
              <w:t xml:space="preserve"> sumažino normatyvą patalynei ir ap</w:t>
            </w:r>
            <w:r>
              <w:rPr>
                <w:lang w:eastAsia="lt-LT"/>
              </w:rPr>
              <w:t>rangai. Kiti įstaigų normatyvai nekito.</w:t>
            </w:r>
          </w:p>
          <w:p w:rsidR="005A77E3" w:rsidRDefault="00C23C7E">
            <w:pPr>
              <w:pStyle w:val="ISTATYMAS"/>
              <w:ind w:firstLine="851"/>
              <w:jc w:val="both"/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lt-LT" w:eastAsia="lt-LT"/>
              </w:rPr>
              <w:t>Išlaidų maitinimui, medikamentams, patalynei ir aprangai normatyvų dydžiai pateikti 1 lentelėje.</w:t>
            </w:r>
          </w:p>
          <w:p w:rsidR="005A77E3" w:rsidRDefault="005A77E3">
            <w:pPr>
              <w:pStyle w:val="ISTATYMAS"/>
              <w:jc w:val="left"/>
              <w:rPr>
                <w:rFonts w:ascii="Times New Roman" w:hAnsi="Times New Roman" w:cs="Times New Roman"/>
                <w:i/>
                <w:szCs w:val="24"/>
                <w:lang w:val="lt-LT" w:eastAsia="lt-LT"/>
              </w:rPr>
            </w:pPr>
          </w:p>
          <w:p w:rsidR="005A77E3" w:rsidRDefault="00C23C7E">
            <w:pPr>
              <w:pStyle w:val="ISTATYMAS"/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lt-LT" w:eastAsia="lt-LT"/>
              </w:rPr>
              <w:t>Maitinimui, medikamentams, patalynei ir aprangai normatyvų dydžiai 2018-2019</w:t>
            </w:r>
            <w:r>
              <w:t xml:space="preserve"> m.                    </w:t>
            </w:r>
          </w:p>
          <w:p w:rsidR="005A77E3" w:rsidRDefault="00C23C7E">
            <w:pPr>
              <w:pStyle w:val="ISTATYMAS"/>
              <w:jc w:val="right"/>
            </w:pPr>
            <w:r>
              <w:t xml:space="preserve">    1 </w:t>
            </w:r>
            <w:proofErr w:type="spellStart"/>
            <w:r>
              <w:t>lentelė</w:t>
            </w:r>
            <w:proofErr w:type="spellEnd"/>
          </w:p>
          <w:tbl>
            <w:tblPr>
              <w:tblW w:w="9591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2370"/>
              <w:gridCol w:w="2781"/>
              <w:gridCol w:w="2790"/>
            </w:tblGrid>
            <w:tr w:rsidR="005A77E3">
              <w:trPr>
                <w:trHeight w:val="362"/>
              </w:trPr>
              <w:tc>
                <w:tcPr>
                  <w:tcW w:w="1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Globos įstaiga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Normatyvo pavadinimas</w:t>
                  </w:r>
                </w:p>
              </w:tc>
              <w:tc>
                <w:tcPr>
                  <w:tcW w:w="27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Normatyvo </w:t>
                  </w:r>
                </w:p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dydis  2018 m.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Normatyvo </w:t>
                  </w:r>
                </w:p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dydis 2019 m.</w:t>
                  </w:r>
                </w:p>
              </w:tc>
            </w:tr>
            <w:tr w:rsidR="005A77E3">
              <w:trPr>
                <w:cantSplit/>
                <w:trHeight w:val="251"/>
              </w:trPr>
              <w:tc>
                <w:tcPr>
                  <w:tcW w:w="164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Šilutės senelių globos namai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Perirtashipersaitas"/>
                      <w:rFonts w:ascii="Times New Roman" w:hAnsi="Times New Roman" w:cs="Times New Roman"/>
                      <w:color w:val="00000A"/>
                      <w:sz w:val="22"/>
                      <w:szCs w:val="22"/>
                      <w:u w:val="none"/>
                      <w:lang w:val="lt-LT"/>
                    </w:rPr>
                    <w:t>maitinimas</w:t>
                  </w:r>
                </w:p>
              </w:tc>
              <w:tc>
                <w:tcPr>
                  <w:tcW w:w="27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3,50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3,50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</w:tc>
            </w:tr>
            <w:tr w:rsidR="005A77E3">
              <w:trPr>
                <w:cantSplit/>
                <w:trHeight w:val="207"/>
              </w:trPr>
              <w:tc>
                <w:tcPr>
                  <w:tcW w:w="164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5A77E3">
                  <w:pPr>
                    <w:pStyle w:val="ISTATYMAS"/>
                    <w:snapToGrid w:val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medikamentai, </w:t>
                  </w:r>
                </w:p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slaugos priemonės, asmens higienos priemonės</w:t>
                  </w:r>
                </w:p>
              </w:tc>
              <w:tc>
                <w:tcPr>
                  <w:tcW w:w="27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3,30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, iš jų:</w:t>
                  </w:r>
                </w:p>
                <w:p w:rsidR="005A77E3" w:rsidRDefault="00C23C7E">
                  <w:pPr>
                    <w:pStyle w:val="ISTATYMAS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medikamentai – 0,68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;</w:t>
                  </w:r>
                </w:p>
                <w:p w:rsidR="005A77E3" w:rsidRDefault="00C23C7E">
                  <w:pPr>
                    <w:pStyle w:val="ISTATYMAS"/>
                    <w:jc w:val="both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slaugos priemonės – 2,23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; </w:t>
                  </w:r>
                </w:p>
                <w:p w:rsidR="005A77E3" w:rsidRDefault="00C23C7E">
                  <w:pPr>
                    <w:pStyle w:val="ISTATYMAS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asmens higienos priemonės – 0,39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.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3,30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, iš jų:</w:t>
                  </w:r>
                </w:p>
                <w:p w:rsidR="005A77E3" w:rsidRDefault="00C23C7E">
                  <w:pPr>
                    <w:pStyle w:val="ISTATYMAS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medikamentai - 0,68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;</w:t>
                  </w:r>
                </w:p>
                <w:p w:rsidR="005A77E3" w:rsidRDefault="00C23C7E">
                  <w:pPr>
                    <w:pStyle w:val="ISTATYMAS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slaugos priemonės - 2,23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;</w:t>
                  </w:r>
                </w:p>
                <w:p w:rsidR="005A77E3" w:rsidRDefault="00C23C7E">
                  <w:pPr>
                    <w:pStyle w:val="ISTATYMAS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higienos priemonės - 0,39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.</w:t>
                  </w:r>
                </w:p>
              </w:tc>
            </w:tr>
            <w:tr w:rsidR="005A77E3">
              <w:trPr>
                <w:cantSplit/>
                <w:trHeight w:val="207"/>
              </w:trPr>
              <w:tc>
                <w:tcPr>
                  <w:tcW w:w="164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5A77E3">
                  <w:pPr>
                    <w:pStyle w:val="ISTATYMAS"/>
                    <w:snapToGrid w:val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patalynė ir apranga</w:t>
                  </w:r>
                </w:p>
              </w:tc>
              <w:tc>
                <w:tcPr>
                  <w:tcW w:w="27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146,00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, iš jų:</w:t>
                  </w:r>
                </w:p>
                <w:p w:rsidR="005A77E3" w:rsidRDefault="00C23C7E">
                  <w:pPr>
                    <w:pStyle w:val="ISTATYMAS"/>
                    <w:jc w:val="left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patalynei – 67,00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  <w:p w:rsidR="005A77E3" w:rsidRDefault="00C23C7E">
                  <w:pPr>
                    <w:pStyle w:val="ISTATYMAS"/>
                    <w:jc w:val="left"/>
                  </w:pPr>
                  <w:bookmarkStart w:id="1" w:name="__DdeLink__588_1607597887"/>
                  <w:bookmarkEnd w:id="1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aprangai – 79,00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108,00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, iš jų:</w:t>
                  </w:r>
                </w:p>
                <w:p w:rsidR="005A77E3" w:rsidRDefault="00C23C7E">
                  <w:pPr>
                    <w:pStyle w:val="ISTATYMAS"/>
                    <w:jc w:val="left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patalynei – 65,00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  <w:p w:rsidR="005A77E3" w:rsidRDefault="00C23C7E">
                  <w:pPr>
                    <w:pStyle w:val="ISTATYMAS"/>
                    <w:jc w:val="left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aprangai – 43,00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</w:tc>
            </w:tr>
            <w:tr w:rsidR="005A77E3">
              <w:trPr>
                <w:cantSplit/>
                <w:trHeight w:val="340"/>
              </w:trPr>
              <w:tc>
                <w:tcPr>
                  <w:tcW w:w="164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Perirtashipersaitas"/>
                      <w:rFonts w:ascii="Times New Roman" w:hAnsi="Times New Roman" w:cs="Times New Roman"/>
                      <w:color w:val="00000A"/>
                      <w:sz w:val="22"/>
                      <w:szCs w:val="22"/>
                      <w:u w:val="none"/>
                      <w:lang w:val="lt-LT"/>
                    </w:rPr>
                    <w:t>Saugų vaikų globos namai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maitinimas ikimokyklinio</w:t>
                  </w:r>
                </w:p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 amžiaus vaikams </w:t>
                  </w:r>
                </w:p>
              </w:tc>
              <w:tc>
                <w:tcPr>
                  <w:tcW w:w="27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4,20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  <w:p w:rsidR="005A77E3" w:rsidRDefault="005A77E3">
                  <w:pPr>
                    <w:pStyle w:val="ISTATYMAS"/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5,00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</w:tc>
            </w:tr>
            <w:tr w:rsidR="005A77E3">
              <w:trPr>
                <w:cantSplit/>
                <w:trHeight w:val="414"/>
              </w:trPr>
              <w:tc>
                <w:tcPr>
                  <w:tcW w:w="164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5A77E3">
                  <w:pPr>
                    <w:pStyle w:val="ISTATYMAS"/>
                    <w:snapToGrid w:val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maitinimas mokyklinio </w:t>
                  </w:r>
                </w:p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amžiaus vaikams</w:t>
                  </w:r>
                </w:p>
              </w:tc>
              <w:tc>
                <w:tcPr>
                  <w:tcW w:w="27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4,20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  <w:p w:rsidR="005A77E3" w:rsidRDefault="005A77E3">
                  <w:pPr>
                    <w:pStyle w:val="ISTATYMAS"/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5,00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</w:tc>
            </w:tr>
            <w:tr w:rsidR="005A77E3">
              <w:trPr>
                <w:cantSplit/>
                <w:trHeight w:val="488"/>
              </w:trPr>
              <w:tc>
                <w:tcPr>
                  <w:tcW w:w="164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5A77E3">
                  <w:pPr>
                    <w:pStyle w:val="ISTATYMAS"/>
                    <w:snapToGrid w:val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sekmadieniai ir švenčių </w:t>
                  </w:r>
                </w:p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dienos</w:t>
                  </w:r>
                </w:p>
              </w:tc>
              <w:tc>
                <w:tcPr>
                  <w:tcW w:w="27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0,30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-</w:t>
                  </w:r>
                </w:p>
              </w:tc>
            </w:tr>
            <w:tr w:rsidR="005A77E3">
              <w:trPr>
                <w:cantSplit/>
                <w:trHeight w:val="163"/>
              </w:trPr>
              <w:tc>
                <w:tcPr>
                  <w:tcW w:w="164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5A77E3">
                  <w:pPr>
                    <w:pStyle w:val="ISTATYMAS"/>
                    <w:snapToGrid w:val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medikamentai</w:t>
                  </w:r>
                </w:p>
              </w:tc>
              <w:tc>
                <w:tcPr>
                  <w:tcW w:w="27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0,20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0,30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</w:tc>
            </w:tr>
            <w:tr w:rsidR="005A77E3">
              <w:trPr>
                <w:cantSplit/>
                <w:trHeight w:val="249"/>
              </w:trPr>
              <w:tc>
                <w:tcPr>
                  <w:tcW w:w="164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5A77E3">
                  <w:pPr>
                    <w:pStyle w:val="ISTATYMAS"/>
                    <w:snapToGrid w:val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Perirtashipersaitas"/>
                      <w:rFonts w:ascii="Times New Roman" w:hAnsi="Times New Roman" w:cs="Times New Roman"/>
                      <w:color w:val="00000A"/>
                      <w:sz w:val="22"/>
                      <w:szCs w:val="22"/>
                      <w:u w:val="none"/>
                      <w:lang w:val="lt-LT"/>
                    </w:rPr>
                    <w:t>patalynė ir apranga</w:t>
                  </w:r>
                </w:p>
              </w:tc>
              <w:tc>
                <w:tcPr>
                  <w:tcW w:w="27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240,00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, iš jų:</w:t>
                  </w:r>
                </w:p>
                <w:p w:rsidR="005A77E3" w:rsidRDefault="00C23C7E">
                  <w:pPr>
                    <w:pStyle w:val="ISTATYMAS"/>
                    <w:jc w:val="left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patalynei – 12,00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;</w:t>
                  </w:r>
                </w:p>
                <w:p w:rsidR="005A77E3" w:rsidRDefault="00C23C7E">
                  <w:pPr>
                    <w:pStyle w:val="ISTATYMAS"/>
                    <w:jc w:val="left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aprangai – 228,00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.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240,00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, iš jų:</w:t>
                  </w:r>
                </w:p>
                <w:p w:rsidR="005A77E3" w:rsidRDefault="00C23C7E">
                  <w:pPr>
                    <w:pStyle w:val="ISTATYMAS"/>
                    <w:jc w:val="left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patalynei – 11,60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;</w:t>
                  </w:r>
                </w:p>
                <w:p w:rsidR="005A77E3" w:rsidRDefault="00C23C7E">
                  <w:pPr>
                    <w:pStyle w:val="ISTATYMAS"/>
                    <w:jc w:val="left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aprangai – 228,40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.</w:t>
                  </w:r>
                </w:p>
              </w:tc>
            </w:tr>
            <w:tr w:rsidR="005A77E3">
              <w:trPr>
                <w:trHeight w:val="773"/>
              </w:trPr>
              <w:tc>
                <w:tcPr>
                  <w:tcW w:w="1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Šilutės socialinių paslaugų centras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Style w:val="Perirtashipersaitas"/>
                      <w:rFonts w:ascii="Times New Roman" w:hAnsi="Times New Roman" w:cs="Times New Roman"/>
                      <w:color w:val="00000A"/>
                      <w:sz w:val="22"/>
                      <w:szCs w:val="22"/>
                      <w:u w:val="none"/>
                      <w:lang w:val="lt-LT"/>
                    </w:rPr>
                    <w:t>maitinimas</w:t>
                  </w:r>
                </w:p>
              </w:tc>
              <w:tc>
                <w:tcPr>
                  <w:tcW w:w="27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3,50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A77E3" w:rsidRDefault="00C23C7E">
                  <w:pPr>
                    <w:pStyle w:val="ISTATYMAS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3,50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lt-LT"/>
                    </w:rPr>
                    <w:t xml:space="preserve">  </w:t>
                  </w:r>
                </w:p>
              </w:tc>
            </w:tr>
          </w:tbl>
          <w:p w:rsidR="005A77E3" w:rsidRDefault="00C23C7E">
            <w:pPr>
              <w:pStyle w:val="ISTATYMAS"/>
              <w:jc w:val="both"/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  <w:t>Šaltinis: Socialinės paramos skyriaus surinkti duomenys</w:t>
            </w:r>
          </w:p>
        </w:tc>
      </w:tr>
    </w:tbl>
    <w:p w:rsidR="005A77E3" w:rsidRDefault="005A77E3">
      <w:pPr>
        <w:pStyle w:val="Pagrindiniotekstotrauka31"/>
        <w:ind w:firstLine="0"/>
        <w:rPr>
          <w:bCs/>
          <w:sz w:val="22"/>
          <w:szCs w:val="22"/>
        </w:rPr>
      </w:pPr>
    </w:p>
    <w:p w:rsidR="005A77E3" w:rsidRDefault="005A77E3">
      <w:pPr>
        <w:pStyle w:val="Pagrindiniotekstotrauka31"/>
        <w:ind w:firstLine="0"/>
        <w:rPr>
          <w:bCs/>
          <w:sz w:val="22"/>
          <w:szCs w:val="22"/>
        </w:rPr>
      </w:pPr>
    </w:p>
    <w:p w:rsidR="005A77E3" w:rsidRDefault="005A77E3">
      <w:pPr>
        <w:pStyle w:val="Pagrindiniotekstotrauka31"/>
        <w:ind w:firstLine="0"/>
        <w:rPr>
          <w:bCs/>
          <w:sz w:val="22"/>
          <w:szCs w:val="22"/>
        </w:rPr>
      </w:pPr>
    </w:p>
    <w:p w:rsidR="005A77E3" w:rsidRDefault="00C23C7E">
      <w:pPr>
        <w:pStyle w:val="Pagrindiniotekstotrauka31"/>
        <w:ind w:firstLine="0"/>
      </w:pPr>
      <w:r>
        <w:rPr>
          <w:bCs/>
          <w:sz w:val="22"/>
          <w:szCs w:val="22"/>
        </w:rPr>
        <w:t xml:space="preserve">Socialinės paramos skyriaus </w:t>
      </w:r>
    </w:p>
    <w:p w:rsidR="005A77E3" w:rsidRDefault="00C23C7E">
      <w:pPr>
        <w:pStyle w:val="Pagrindiniotekstotrauka31"/>
        <w:ind w:firstLine="0"/>
      </w:pPr>
      <w:r>
        <w:rPr>
          <w:bCs/>
          <w:sz w:val="22"/>
          <w:szCs w:val="22"/>
        </w:rPr>
        <w:t>Socialinių paslaugų poskyrio vyriausioji specialistė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Vida Rimkutė</w:t>
      </w:r>
    </w:p>
    <w:p w:rsidR="005A77E3" w:rsidRDefault="005A77E3">
      <w:pPr>
        <w:rPr>
          <w:bCs/>
          <w:sz w:val="22"/>
          <w:szCs w:val="22"/>
        </w:rPr>
      </w:pPr>
    </w:p>
    <w:p w:rsidR="005A77E3" w:rsidRDefault="005A77E3">
      <w:pPr>
        <w:tabs>
          <w:tab w:val="left" w:pos="567"/>
        </w:tabs>
        <w:ind w:left="567"/>
        <w:rPr>
          <w:bCs/>
          <w:sz w:val="22"/>
          <w:szCs w:val="22"/>
        </w:rPr>
      </w:pPr>
    </w:p>
    <w:p w:rsidR="005A77E3" w:rsidRDefault="005A77E3">
      <w:pPr>
        <w:tabs>
          <w:tab w:val="left" w:pos="567"/>
        </w:tabs>
        <w:ind w:left="567"/>
      </w:pPr>
    </w:p>
    <w:sectPr w:rsidR="005A77E3">
      <w:pgSz w:w="11906" w:h="16838"/>
      <w:pgMar w:top="1134" w:right="567" w:bottom="645" w:left="1701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74A7"/>
    <w:multiLevelType w:val="multilevel"/>
    <w:tmpl w:val="E7D0D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A81178"/>
    <w:multiLevelType w:val="multilevel"/>
    <w:tmpl w:val="BFACA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E3"/>
    <w:rsid w:val="005A77E3"/>
    <w:rsid w:val="00C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Antrat1">
    <w:name w:val="heading 1"/>
    <w:basedOn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atytasispastraiposriftas2">
    <w:name w:val="Numatytasis pastraipos šriftas2"/>
    <w:qFormat/>
  </w:style>
  <w:style w:type="character" w:customStyle="1" w:styleId="Numatytasispastraiposriftas1">
    <w:name w:val="Numatytasis pastraipos šriftas1"/>
    <w:qFormat/>
  </w:style>
  <w:style w:type="character" w:styleId="Perirtashipersaitas">
    <w:name w:val="FollowedHyperlink"/>
    <w:qFormat/>
    <w:rPr>
      <w:color w:val="800080"/>
      <w:u w:val="single"/>
    </w:rPr>
  </w:style>
  <w:style w:type="character" w:customStyle="1" w:styleId="AntratsDiagrama">
    <w:name w:val="Antraštės Diagrama"/>
    <w:qFormat/>
    <w:rPr>
      <w:sz w:val="24"/>
      <w:szCs w:val="24"/>
    </w:rPr>
  </w:style>
  <w:style w:type="character" w:customStyle="1" w:styleId="PoratDiagrama">
    <w:name w:val="Poraštė Diagrama"/>
    <w:qFormat/>
    <w:rPr>
      <w:sz w:val="24"/>
      <w:szCs w:val="24"/>
    </w:rPr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ListLabel1">
    <w:name w:val="ListLabel 1"/>
    <w:qFormat/>
    <w:rPr>
      <w:color w:val="00000A"/>
      <w:u w:val="none"/>
      <w:lang w:eastAsia="lt-LT"/>
    </w:rPr>
  </w:style>
  <w:style w:type="character" w:customStyle="1" w:styleId="ListLabel2">
    <w:name w:val="ListLabel 2"/>
    <w:qFormat/>
    <w:rPr>
      <w:color w:val="00000A"/>
      <w:u w:val="none"/>
      <w:lang w:eastAsia="lt-LT"/>
    </w:rPr>
  </w:style>
  <w:style w:type="character" w:customStyle="1" w:styleId="Aplankytasinternetosaitas">
    <w:name w:val="Aplankytas interneto saitas"/>
    <w:rPr>
      <w:color w:val="800000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Antrat20">
    <w:name w:val="Antraštė2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ntrat10">
    <w:name w:val="Antraštė1"/>
    <w:basedOn w:val="prastasis"/>
    <w:qFormat/>
    <w:pPr>
      <w:tabs>
        <w:tab w:val="left" w:pos="0"/>
      </w:tabs>
      <w:jc w:val="center"/>
    </w:pPr>
    <w:rPr>
      <w:b/>
      <w:bCs/>
    </w:rPr>
  </w:style>
  <w:style w:type="paragraph" w:customStyle="1" w:styleId="Pagrindiniotekstotrauka31">
    <w:name w:val="Pagrindinio teksto įtrauka 31"/>
    <w:basedOn w:val="prastasis"/>
    <w:qFormat/>
    <w:pPr>
      <w:tabs>
        <w:tab w:val="left" w:pos="0"/>
      </w:tabs>
      <w:ind w:firstLine="567"/>
      <w:jc w:val="both"/>
    </w:pPr>
  </w:style>
  <w:style w:type="paragraph" w:customStyle="1" w:styleId="Antrinispavadinimas1">
    <w:name w:val="Antrinis pavadinimas1"/>
    <w:basedOn w:val="prastasis"/>
    <w:qFormat/>
    <w:pPr>
      <w:tabs>
        <w:tab w:val="left" w:pos="567"/>
      </w:tabs>
      <w:jc w:val="center"/>
    </w:pPr>
    <w:rPr>
      <w:b/>
      <w:bCs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customStyle="1" w:styleId="CentrBold">
    <w:name w:val="CentrBold"/>
    <w:qFormat/>
    <w:pPr>
      <w:suppressAutoHyphens/>
      <w:jc w:val="center"/>
    </w:pPr>
    <w:rPr>
      <w:rFonts w:ascii="TimesLT" w:hAnsi="TimesLT" w:cs="TimesLT"/>
      <w:b/>
      <w:bCs/>
      <w:caps/>
      <w:color w:val="00000A"/>
      <w:sz w:val="24"/>
      <w:lang w:val="en-US" w:eastAsia="zh-CN"/>
    </w:rPr>
  </w:style>
  <w:style w:type="paragraph" w:customStyle="1" w:styleId="ISTATYMAS">
    <w:name w:val="ISTATYMAS"/>
    <w:qFormat/>
    <w:pPr>
      <w:suppressAutoHyphens/>
      <w:jc w:val="center"/>
    </w:pPr>
    <w:rPr>
      <w:rFonts w:ascii="TimesLT" w:hAnsi="TimesLT" w:cs="TimesLT"/>
      <w:color w:val="00000A"/>
      <w:sz w:val="24"/>
      <w:lang w:val="en-US" w:eastAsia="zh-CN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styleId="Betarp">
    <w:name w:val="No Spacing"/>
    <w:qFormat/>
    <w:pPr>
      <w:suppressAutoHyphens/>
    </w:pPr>
    <w:rPr>
      <w:color w:val="00000A"/>
      <w:sz w:val="24"/>
      <w:szCs w:val="24"/>
      <w:lang w:val="en-GB" w:eastAsia="zh-CN"/>
    </w:rPr>
  </w:style>
  <w:style w:type="paragraph" w:customStyle="1" w:styleId="Hyperlink1">
    <w:name w:val="Hyperlink1"/>
    <w:qFormat/>
    <w:pPr>
      <w:suppressAutoHyphens/>
      <w:ind w:firstLine="312"/>
      <w:jc w:val="both"/>
    </w:pPr>
    <w:rPr>
      <w:rFonts w:ascii="TimesLT" w:hAnsi="TimesLT" w:cs="TimesLT"/>
      <w:color w:val="00000A"/>
      <w:sz w:val="24"/>
      <w:lang w:val="en-US" w:eastAsia="zh-CN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C23C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Antrat1">
    <w:name w:val="heading 1"/>
    <w:basedOn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atytasispastraiposriftas2">
    <w:name w:val="Numatytasis pastraipos šriftas2"/>
    <w:qFormat/>
  </w:style>
  <w:style w:type="character" w:customStyle="1" w:styleId="Numatytasispastraiposriftas1">
    <w:name w:val="Numatytasis pastraipos šriftas1"/>
    <w:qFormat/>
  </w:style>
  <w:style w:type="character" w:styleId="Perirtashipersaitas">
    <w:name w:val="FollowedHyperlink"/>
    <w:qFormat/>
    <w:rPr>
      <w:color w:val="800080"/>
      <w:u w:val="single"/>
    </w:rPr>
  </w:style>
  <w:style w:type="character" w:customStyle="1" w:styleId="AntratsDiagrama">
    <w:name w:val="Antraštės Diagrama"/>
    <w:qFormat/>
    <w:rPr>
      <w:sz w:val="24"/>
      <w:szCs w:val="24"/>
    </w:rPr>
  </w:style>
  <w:style w:type="character" w:customStyle="1" w:styleId="PoratDiagrama">
    <w:name w:val="Poraštė Diagrama"/>
    <w:qFormat/>
    <w:rPr>
      <w:sz w:val="24"/>
      <w:szCs w:val="24"/>
    </w:rPr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ListLabel1">
    <w:name w:val="ListLabel 1"/>
    <w:qFormat/>
    <w:rPr>
      <w:color w:val="00000A"/>
      <w:u w:val="none"/>
      <w:lang w:eastAsia="lt-LT"/>
    </w:rPr>
  </w:style>
  <w:style w:type="character" w:customStyle="1" w:styleId="ListLabel2">
    <w:name w:val="ListLabel 2"/>
    <w:qFormat/>
    <w:rPr>
      <w:color w:val="00000A"/>
      <w:u w:val="none"/>
      <w:lang w:eastAsia="lt-LT"/>
    </w:rPr>
  </w:style>
  <w:style w:type="character" w:customStyle="1" w:styleId="Aplankytasinternetosaitas">
    <w:name w:val="Aplankytas interneto saitas"/>
    <w:rPr>
      <w:color w:val="800000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Antrat20">
    <w:name w:val="Antraštė2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ntrat10">
    <w:name w:val="Antraštė1"/>
    <w:basedOn w:val="prastasis"/>
    <w:qFormat/>
    <w:pPr>
      <w:tabs>
        <w:tab w:val="left" w:pos="0"/>
      </w:tabs>
      <w:jc w:val="center"/>
    </w:pPr>
    <w:rPr>
      <w:b/>
      <w:bCs/>
    </w:rPr>
  </w:style>
  <w:style w:type="paragraph" w:customStyle="1" w:styleId="Pagrindiniotekstotrauka31">
    <w:name w:val="Pagrindinio teksto įtrauka 31"/>
    <w:basedOn w:val="prastasis"/>
    <w:qFormat/>
    <w:pPr>
      <w:tabs>
        <w:tab w:val="left" w:pos="0"/>
      </w:tabs>
      <w:ind w:firstLine="567"/>
      <w:jc w:val="both"/>
    </w:pPr>
  </w:style>
  <w:style w:type="paragraph" w:customStyle="1" w:styleId="Antrinispavadinimas1">
    <w:name w:val="Antrinis pavadinimas1"/>
    <w:basedOn w:val="prastasis"/>
    <w:qFormat/>
    <w:pPr>
      <w:tabs>
        <w:tab w:val="left" w:pos="567"/>
      </w:tabs>
      <w:jc w:val="center"/>
    </w:pPr>
    <w:rPr>
      <w:b/>
      <w:bCs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customStyle="1" w:styleId="CentrBold">
    <w:name w:val="CentrBold"/>
    <w:qFormat/>
    <w:pPr>
      <w:suppressAutoHyphens/>
      <w:jc w:val="center"/>
    </w:pPr>
    <w:rPr>
      <w:rFonts w:ascii="TimesLT" w:hAnsi="TimesLT" w:cs="TimesLT"/>
      <w:b/>
      <w:bCs/>
      <w:caps/>
      <w:color w:val="00000A"/>
      <w:sz w:val="24"/>
      <w:lang w:val="en-US" w:eastAsia="zh-CN"/>
    </w:rPr>
  </w:style>
  <w:style w:type="paragraph" w:customStyle="1" w:styleId="ISTATYMAS">
    <w:name w:val="ISTATYMAS"/>
    <w:qFormat/>
    <w:pPr>
      <w:suppressAutoHyphens/>
      <w:jc w:val="center"/>
    </w:pPr>
    <w:rPr>
      <w:rFonts w:ascii="TimesLT" w:hAnsi="TimesLT" w:cs="TimesLT"/>
      <w:color w:val="00000A"/>
      <w:sz w:val="24"/>
      <w:lang w:val="en-US" w:eastAsia="zh-CN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styleId="Betarp">
    <w:name w:val="No Spacing"/>
    <w:qFormat/>
    <w:pPr>
      <w:suppressAutoHyphens/>
    </w:pPr>
    <w:rPr>
      <w:color w:val="00000A"/>
      <w:sz w:val="24"/>
      <w:szCs w:val="24"/>
      <w:lang w:val="en-GB" w:eastAsia="zh-CN"/>
    </w:rPr>
  </w:style>
  <w:style w:type="paragraph" w:customStyle="1" w:styleId="Hyperlink1">
    <w:name w:val="Hyperlink1"/>
    <w:qFormat/>
    <w:pPr>
      <w:suppressAutoHyphens/>
      <w:ind w:firstLine="312"/>
      <w:jc w:val="both"/>
    </w:pPr>
    <w:rPr>
      <w:rFonts w:ascii="TimesLT" w:hAnsi="TimesLT" w:cs="TimesLT"/>
      <w:color w:val="00000A"/>
      <w:sz w:val="24"/>
      <w:lang w:val="en-US" w:eastAsia="zh-CN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C23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imas.lrs.lt/portal/legalAct/lt/TAD/TAIS.284148/VuzOhdSxHu?positionInSearchResults=3&amp;searchModelUUID=860327db-16a5-49d7-9308-5b998520b7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SOC01Antikor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P:/Tarybos_projektai_2011-2018/2018_metai/2018-12-20/SOC01sKJGV.docx" TargetMode="External"/><Relationship Id="rId11" Type="http://schemas.openxmlformats.org/officeDocument/2006/relationships/hyperlink" Target="file:///P:/Tarybos_projektai_2011-2018/2018_metai/2018-12-20/SOC01priedas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P:/Tarybos_projektai_2011-2018/2018_metai/2018-12-20/SOC01priedas3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P:/Tarybos_projektai_2011-2018/2018_metai/2018-12-20/SOC01priedas2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5323</Words>
  <Characters>3035</Characters>
  <Application>Microsoft Office Word</Application>
  <DocSecurity>0</DocSecurity>
  <Lines>25</Lines>
  <Paragraphs>16</Paragraphs>
  <ScaleCrop>false</ScaleCrop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S.A.D.M.</dc:creator>
  <dc:description/>
  <cp:lastModifiedBy>Taryba_GT</cp:lastModifiedBy>
  <cp:revision>47</cp:revision>
  <cp:lastPrinted>2018-12-05T16:14:00Z</cp:lastPrinted>
  <dcterms:created xsi:type="dcterms:W3CDTF">2017-12-14T11:36:00Z</dcterms:created>
  <dcterms:modified xsi:type="dcterms:W3CDTF">2018-12-10T12:32:00Z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1033-9.1.0.4746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