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rFonts w:ascii="Times New Roman" w:hAnsi="Times New Roman" w:cs="Times New Roman"/>
          <w:b/>
          <w:b/>
        </w:rPr>
      </w:pPr>
      <w:r>
        <w:rPr>
          <w:rFonts w:cs="Times New Roman" w:ascii="Times New Roman" w:hAnsi="Times New Roman"/>
          <w:b/>
        </w:rPr>
        <w:t xml:space="preserve">ŠILUTĖS RAJONO SAVIVALDYBĖS </w:t>
      </w:r>
    </w:p>
    <w:p>
      <w:pPr>
        <w:pStyle w:val="Normal"/>
        <w:jc w:val="center"/>
        <w:rPr>
          <w:rFonts w:ascii="Times New Roman" w:hAnsi="Times New Roman" w:cs="Times New Roman"/>
          <w:b/>
          <w:b/>
        </w:rPr>
      </w:pPr>
      <w:r>
        <w:rPr>
          <w:rFonts w:cs="Times New Roman" w:ascii="Times New Roman" w:hAnsi="Times New Roman"/>
          <w:b/>
        </w:rPr>
        <w:t>TARYBA</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r>
    </w:p>
    <w:p>
      <w:pPr>
        <w:pStyle w:val="Normal"/>
        <w:spacing w:before="0" w:after="120"/>
        <w:jc w:val="center"/>
        <w:rPr>
          <w:rFonts w:ascii="Times New Roman" w:hAnsi="Times New Roman" w:cs="Times New Roman"/>
          <w:b/>
          <w:b/>
        </w:rPr>
      </w:pPr>
      <w:r>
        <w:rPr>
          <w:rFonts w:cs="Times New Roman" w:ascii="Times New Roman" w:hAnsi="Times New Roman"/>
          <w:b/>
        </w:rPr>
        <w:t>SPRENDIMAS</w:t>
      </w:r>
    </w:p>
    <w:p>
      <w:pPr>
        <w:pStyle w:val="Normal"/>
        <w:jc w:val="center"/>
        <w:rPr/>
      </w:pPr>
      <w:r>
        <w:rPr>
          <w:b/>
          <w:caps/>
        </w:rPr>
        <w:t>DĖL PRITARIMO įgyvendinti PROJEKTĄ „INTRODUCTION OF ECOSYSTEM SERVICES CONCEPT TO THE CROSS-BORDER MANAGEMENT OF NATURAL RESOURCES“</w:t>
      </w:r>
      <w:r>
        <w:rPr>
          <w:lang w:val="en-GB"/>
        </w:rPr>
        <w:t xml:space="preserve"> </w:t>
      </w:r>
      <w:r>
        <w:rPr>
          <w:b/>
          <w:lang w:val="en-GB"/>
        </w:rPr>
        <w:t>(ECOCROSS)</w:t>
      </w:r>
      <w:r>
        <w:rPr>
          <w:b/>
          <w:caps/>
        </w:rPr>
        <w:t xml:space="preserve"> („SUPAŽINDINIMAS SU Ekosistemų paslaugų koncepcijA IR tarptautiniu gamtos išteklių valdymu“)</w:t>
      </w:r>
    </w:p>
    <w:p>
      <w:pPr>
        <w:pStyle w:val="Normal"/>
        <w:jc w:val="center"/>
        <w:rPr>
          <w:b/>
          <w:b/>
          <w:caps/>
        </w:rPr>
      </w:pPr>
      <w:r>
        <w:rPr>
          <w:b/>
          <w:caps/>
        </w:rPr>
      </w:r>
    </w:p>
    <w:p>
      <w:pPr>
        <w:pStyle w:val="Normal"/>
        <w:jc w:val="center"/>
        <w:rPr>
          <w:rFonts w:ascii="Times New Roman" w:hAnsi="Times New Roman" w:cs="Times New Roman"/>
          <w:bCs/>
        </w:rPr>
      </w:pPr>
      <w:r>
        <w:rPr>
          <w:rFonts w:cs="Times New Roman" w:ascii="Times New Roman" w:hAnsi="Times New Roman"/>
          <w:bCs/>
        </w:rPr>
        <w:t>2020 m. kovo      d. Nr. T1-</w:t>
      </w:r>
    </w:p>
    <w:p>
      <w:pPr>
        <w:pStyle w:val="Normal"/>
        <w:jc w:val="center"/>
        <w:rPr>
          <w:rFonts w:ascii="Times New Roman" w:hAnsi="Times New Roman" w:cs="Times New Roman"/>
          <w:bCs/>
        </w:rPr>
      </w:pPr>
      <w:r>
        <w:rPr>
          <w:rFonts w:cs="Times New Roman" w:ascii="Times New Roman" w:hAnsi="Times New Roman"/>
          <w:bCs/>
        </w:rPr>
        <w:t>Šilutė</w:t>
      </w:r>
    </w:p>
    <w:p>
      <w:pPr>
        <w:pStyle w:val="Normal"/>
        <w:jc w:val="center"/>
        <w:rPr>
          <w:rFonts w:ascii="Times New Roman" w:hAnsi="Times New Roman" w:cs="Times New Roman"/>
          <w:bCs/>
        </w:rPr>
      </w:pPr>
      <w:r>
        <w:rPr>
          <w:rFonts w:cs="Times New Roman" w:ascii="Times New Roman" w:hAnsi="Times New Roman"/>
          <w:bCs/>
        </w:rPr>
      </w:r>
    </w:p>
    <w:p>
      <w:pPr>
        <w:pStyle w:val="Normal"/>
        <w:tabs>
          <w:tab w:val="left" w:pos="10440" w:leader="none"/>
        </w:tabs>
        <w:ind w:firstLine="851"/>
        <w:jc w:val="both"/>
        <w:rPr/>
      </w:pPr>
      <w:r>
        <w:rPr/>
        <w:t xml:space="preserve">Vadovaudamasi Lietuvos Respublikos vietos savivaldos įstatymo </w:t>
      </w:r>
      <w:r>
        <w:rPr/>
        <w:t>6</w:t>
      </w:r>
      <w:r>
        <w:rPr/>
        <w:t xml:space="preserve"> straipsnio </w:t>
      </w:r>
      <w:r>
        <w:rPr/>
        <w:t>25</w:t>
      </w:r>
      <w:r>
        <w:rPr/>
        <w:t xml:space="preserve"> dalimi, Šilutės rajono savivaldybės taryba  </w:t>
      </w:r>
      <w:r>
        <w:rPr>
          <w:color w:val="000000"/>
        </w:rPr>
        <w:t>n u s p r e n d ž i a</w:t>
      </w:r>
      <w:r>
        <w:rPr>
          <w:color w:val="000000"/>
          <w:lang w:eastAsia="lt-LT"/>
        </w:rPr>
        <w:t>:</w:t>
      </w:r>
    </w:p>
    <w:p>
      <w:pPr>
        <w:pStyle w:val="Normal"/>
        <w:widowControl/>
        <w:numPr>
          <w:ilvl w:val="0"/>
          <w:numId w:val="2"/>
        </w:numPr>
        <w:suppressAutoHyphens w:val="false"/>
        <w:ind w:left="0" w:firstLine="840"/>
        <w:jc w:val="both"/>
        <w:rPr>
          <w:spacing w:val="-6"/>
        </w:rPr>
      </w:pPr>
      <w:r>
        <w:rPr>
          <w:spacing w:val="-6"/>
        </w:rPr>
        <w:t xml:space="preserve">Pritarti projekto „Introduction of ecosystem services concept to the cross-border management of natural resources“ (EcoCross) („Supažindinimas su ekosistemų paslaugų koncepcija ir tarptautiniu gamtos išteklių valdymu“) įgyvendinimui. </w:t>
      </w:r>
    </w:p>
    <w:p>
      <w:pPr>
        <w:pStyle w:val="Normal"/>
        <w:widowControl/>
        <w:numPr>
          <w:ilvl w:val="0"/>
          <w:numId w:val="2"/>
        </w:numPr>
        <w:tabs>
          <w:tab w:val="left" w:pos="780" w:leader="none"/>
        </w:tabs>
        <w:suppressAutoHyphens w:val="false"/>
        <w:ind w:left="0" w:firstLine="851"/>
        <w:jc w:val="both"/>
        <w:rPr/>
      </w:pPr>
      <w:r>
        <w:rPr>
          <w:spacing w:val="-6"/>
        </w:rPr>
        <w:t xml:space="preserve">Įsipareigoti </w:t>
      </w:r>
      <w:r>
        <w:rPr>
          <w:color w:val="000000"/>
          <w:shd w:fill="FFFFFF" w:val="clear"/>
        </w:rPr>
        <w:t>prisidėti</w:t>
      </w:r>
      <w:r>
        <w:rPr>
          <w:rStyle w:val="Appleconvertedspace"/>
          <w:color w:val="000000"/>
          <w:shd w:fill="FFFFFF" w:val="clear"/>
        </w:rPr>
        <w:t> </w:t>
      </w:r>
      <w:r>
        <w:rPr>
          <w:color w:val="000000"/>
          <w:shd w:fill="FFFFFF" w:val="clear"/>
        </w:rPr>
        <w:t>prie projekto finansavimo iš Savivaldybės biudžeto ne mažiau kaip 10 proc. visų tinkamų finansuoti projekto partnerio išlaidų bei</w:t>
      </w:r>
      <w:r>
        <w:rPr>
          <w:rStyle w:val="Appleconvertedspace"/>
          <w:color w:val="000000"/>
          <w:shd w:fill="FFFFFF" w:val="clear"/>
        </w:rPr>
        <w:t> </w:t>
      </w:r>
      <w:r>
        <w:rPr>
          <w:color w:val="000000"/>
          <w:shd w:fill="FFFFFF" w:val="clear"/>
        </w:rPr>
        <w:t>užtikrinti netinkamų finansuoti, tačiau šiam projektui įgyvendinti būtinų išlaidų padengimą ir tinkamų finansuoti išlaidų dalį, kurių nepadengia projektui skiriama parama.</w:t>
      </w:r>
    </w:p>
    <w:p>
      <w:pPr>
        <w:pStyle w:val="Normal"/>
        <w:widowControl/>
        <w:numPr>
          <w:ilvl w:val="0"/>
          <w:numId w:val="2"/>
        </w:numPr>
        <w:suppressAutoHyphens w:val="false"/>
        <w:ind w:left="0" w:firstLine="851"/>
        <w:jc w:val="both"/>
        <w:rPr/>
      </w:pPr>
      <w:r>
        <w:rPr>
          <w:spacing w:val="-6"/>
        </w:rPr>
        <w:t>Patvirtinti, kad projekte numatytos išlaidos nebuvo, nėra ir nebus finansuojamos iš kitų ES fondų ir kitų viešųjų lėšų.</w:t>
      </w:r>
    </w:p>
    <w:p>
      <w:pPr>
        <w:pStyle w:val="Normal"/>
        <w:ind w:firstLine="851"/>
        <w:jc w:val="both"/>
        <w:rPr/>
      </w:pPr>
      <w:r>
        <w:rPr>
          <w:spacing w:val="-6"/>
        </w:rPr>
        <w:t xml:space="preserve">5.    Įgalioti </w:t>
      </w:r>
      <w:r>
        <w:rPr>
          <w:color w:val="000000"/>
          <w:shd w:fill="FFFFFF" w:val="clear"/>
        </w:rPr>
        <w:t>Administracijos direktorių</w:t>
      </w:r>
      <w:r>
        <w:rPr/>
        <w:t xml:space="preserve">, o tarnybinių komandiruočių, atostogų, ligos ar kitais atvejais, kai jis negali eiti pareigų, Savivaldybės administracijos direktoriaus pavaduotoją </w:t>
      </w:r>
      <w:r>
        <w:rPr>
          <w:color w:val="000000"/>
          <w:shd w:fill="FFFFFF" w:val="clear"/>
        </w:rPr>
        <w:t>pasirašyti visus su projektu susijusius dokumentus</w:t>
      </w:r>
      <w:r>
        <w:rPr>
          <w:spacing w:val="-6"/>
        </w:rPr>
        <w:t>.</w:t>
      </w:r>
    </w:p>
    <w:p>
      <w:pPr>
        <w:pStyle w:val="Normal"/>
        <w:widowControl/>
        <w:suppressAutoHyphens w:val="false"/>
        <w:ind w:firstLine="851"/>
        <w:jc w:val="both"/>
        <w:rPr>
          <w:rFonts w:ascii="Times New Roman" w:hAnsi="Times New Roman" w:cs="Times New Roman"/>
          <w:color w:val="000000"/>
          <w:lang w:eastAsia="zh-TW"/>
        </w:rPr>
      </w:pPr>
      <w:r>
        <w:rPr>
          <w:rFonts w:cs="Times New Roman" w:ascii="Times New Roman" w:hAnsi="Times New Roman"/>
          <w:color w:val="000000"/>
          <w:lang w:eastAsia="zh-TW"/>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pPr>
        <w:pStyle w:val="Normal"/>
        <w:rPr>
          <w:rFonts w:ascii="Times New Roman" w:hAnsi="Times New Roman" w:cs="Times New Roman"/>
          <w:bCs/>
          <w:color w:val="000000"/>
          <w:lang w:eastAsia="zh-TW"/>
        </w:rPr>
      </w:pPr>
      <w:r>
        <w:rPr>
          <w:rFonts w:cs="Times New Roman" w:ascii="Times New Roman" w:hAnsi="Times New Roman"/>
          <w:bCs/>
          <w:color w:val="000000"/>
          <w:lang w:eastAsia="zh-TW"/>
        </w:rPr>
      </w:r>
    </w:p>
    <w:p>
      <w:pPr>
        <w:pStyle w:val="Normal"/>
        <w:tabs>
          <w:tab w:val="left" w:pos="0" w:leader="none"/>
        </w:tabs>
        <w:jc w:val="both"/>
        <w:rPr>
          <w:rFonts w:ascii="Times New Roman" w:hAnsi="Times New Roman" w:cs="Times New Roman"/>
          <w:bCs/>
          <w:iCs/>
          <w:color w:val="000000"/>
          <w:lang w:eastAsia="zh-TW"/>
        </w:rPr>
      </w:pPr>
      <w:r>
        <w:rPr>
          <w:rFonts w:cs="Times New Roman" w:ascii="Times New Roman" w:hAnsi="Times New Roman"/>
          <w:bCs/>
          <w:iCs/>
          <w:color w:val="000000"/>
          <w:lang w:eastAsia="zh-TW"/>
        </w:rPr>
      </w:r>
    </w:p>
    <w:p>
      <w:pPr>
        <w:pStyle w:val="Normal"/>
        <w:tabs>
          <w:tab w:val="right" w:pos="9638" w:leader="none"/>
        </w:tabs>
        <w:rPr>
          <w:rFonts w:ascii="Times New Roman" w:hAnsi="Times New Roman" w:cs="Times New Roman"/>
          <w:bCs/>
          <w:iCs/>
        </w:rPr>
      </w:pPr>
      <w:r>
        <w:rPr>
          <w:rFonts w:cs="Times New Roman" w:ascii="Times New Roman" w:hAnsi="Times New Roman"/>
          <w:bCs/>
          <w:iCs/>
        </w:rPr>
        <w:t xml:space="preserve">Savivaldybės meras     </w:t>
      </w:r>
    </w:p>
    <w:p>
      <w:pPr>
        <w:pStyle w:val="Normal"/>
        <w:tabs>
          <w:tab w:val="right" w:pos="9638" w:leader="none"/>
        </w:tabs>
        <w:rPr>
          <w:rFonts w:ascii="Times New Roman" w:hAnsi="Times New Roman" w:cs="Times New Roman"/>
          <w:bCs/>
          <w:iCs/>
        </w:rPr>
      </w:pPr>
      <w:r>
        <w:rPr>
          <w:rFonts w:cs="Times New Roman" w:ascii="Times New Roman" w:hAnsi="Times New Roman"/>
          <w:bCs/>
          <w:iCs/>
        </w:rPr>
      </w:r>
    </w:p>
    <w:p>
      <w:pPr>
        <w:pStyle w:val="Normal"/>
        <w:tabs>
          <w:tab w:val="right" w:pos="9638" w:leader="none"/>
        </w:tabs>
        <w:rPr>
          <w:rFonts w:ascii="Times New Roman" w:hAnsi="Times New Roman" w:cs="Times New Roman"/>
          <w:bCs/>
          <w:iCs/>
        </w:rPr>
      </w:pPr>
      <w:r>
        <w:rPr>
          <w:rFonts w:cs="Times New Roman" w:ascii="Times New Roman" w:hAnsi="Times New Roman"/>
          <w:bCs/>
          <w:iCs/>
        </w:rPr>
      </w:r>
    </w:p>
    <w:p>
      <w:pPr>
        <w:pStyle w:val="Normal"/>
        <w:tabs>
          <w:tab w:val="right" w:pos="9638" w:leader="none"/>
        </w:tabs>
        <w:rPr>
          <w:rFonts w:ascii="Times New Roman" w:hAnsi="Times New Roman" w:cs="Times New Roman"/>
          <w:bCs/>
          <w:iCs/>
        </w:rPr>
      </w:pPr>
      <w:r>
        <w:rPr>
          <w:rFonts w:cs="Times New Roman" w:ascii="Times New Roman" w:hAnsi="Times New Roman"/>
          <w:bCs/>
          <w:iCs/>
        </w:rPr>
        <w:t xml:space="preserve">        </w:t>
      </w:r>
    </w:p>
    <w:p>
      <w:pPr>
        <w:pStyle w:val="Normal"/>
        <w:tabs>
          <w:tab w:val="right" w:pos="9638" w:leader="none"/>
        </w:tabs>
        <w:rPr>
          <w:rFonts w:ascii="Times New Roman" w:hAnsi="Times New Roman" w:cs="Times New Roman"/>
          <w:bCs/>
          <w:iCs/>
        </w:rPr>
      </w:pPr>
      <w:r>
        <w:rPr>
          <w:rFonts w:cs="Times New Roman" w:ascii="Times New Roman" w:hAnsi="Times New Roman"/>
          <w:bCs/>
          <w:iCs/>
        </w:rPr>
      </w:r>
    </w:p>
    <w:p>
      <w:pPr>
        <w:pStyle w:val="Normal"/>
        <w:tabs>
          <w:tab w:val="left" w:pos="2397" w:leader="none"/>
          <w:tab w:val="left" w:pos="4869" w:leader="none"/>
          <w:tab w:val="left" w:pos="7317" w:leader="none"/>
        </w:tabs>
        <w:rPr/>
      </w:pPr>
      <w:r>
        <w:rPr>
          <w:rFonts w:cs="Times New Roman" w:ascii="Times New Roman" w:hAnsi="Times New Roman"/>
          <w:bCs/>
          <w:iCs/>
        </w:rPr>
        <w:t>Dalia Rudienė</w:t>
        <w:tab/>
        <w:t>Remigijus Budrikas</w:t>
        <w:tab/>
        <w:t>Arvydas Bielskis</w:t>
        <w:tab/>
        <w:t>Vita Stulgienė</w:t>
      </w:r>
    </w:p>
    <w:p>
      <w:pPr>
        <w:pStyle w:val="Normal"/>
        <w:tabs>
          <w:tab w:val="right" w:pos="9638" w:leader="none"/>
        </w:tabs>
        <w:rPr/>
      </w:pPr>
      <w:r>
        <w:rPr>
          <w:rFonts w:cs="Times New Roman" w:ascii="Times New Roman" w:hAnsi="Times New Roman"/>
          <w:bCs/>
          <w:iCs/>
        </w:rPr>
        <w:t>2020-03-                         2020-03-24                          2020-03-26</w:t>
      </w:r>
      <w:bookmarkStart w:id="0" w:name="_GoBack"/>
      <w:bookmarkEnd w:id="0"/>
      <w:r>
        <w:rPr>
          <w:rFonts w:cs="Times New Roman" w:ascii="Times New Roman" w:hAnsi="Times New Roman"/>
          <w:bCs/>
          <w:iCs/>
        </w:rPr>
        <w:t xml:space="preserve">                           2020-03-25</w:t>
        <w:tab/>
      </w:r>
    </w:p>
    <w:p>
      <w:pPr>
        <w:pStyle w:val="Normal"/>
        <w:rPr>
          <w:rFonts w:ascii="Times New Roman" w:hAnsi="Times New Roman" w:cs="Times New Roman"/>
          <w:bCs/>
          <w:iCs/>
        </w:rPr>
      </w:pPr>
      <w:r>
        <w:rPr>
          <w:rFonts w:cs="Times New Roman" w:ascii="Times New Roman" w:hAnsi="Times New Roman"/>
          <w:bCs/>
          <w:iCs/>
        </w:rPr>
      </w:r>
    </w:p>
    <w:p>
      <w:pPr>
        <w:pStyle w:val="Normal"/>
        <w:rPr>
          <w:rFonts w:ascii="Times New Roman" w:hAnsi="Times New Roman" w:cs="Times New Roman"/>
          <w:bCs/>
          <w:iCs/>
        </w:rPr>
      </w:pPr>
      <w:r>
        <w:rPr>
          <w:rFonts w:cs="Times New Roman" w:ascii="Times New Roman" w:hAnsi="Times New Roman"/>
          <w:bCs/>
          <w:iCs/>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Parengė: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Simona Bokštaitė-Dryžienė</w:t>
      </w:r>
    </w:p>
    <w:p>
      <w:pPr>
        <w:pStyle w:val="Normal"/>
        <w:tabs>
          <w:tab w:val="left" w:pos="1335" w:leader="none"/>
        </w:tabs>
        <w:rPr>
          <w:rFonts w:ascii="Times New Roman" w:hAnsi="Times New Roman" w:cs="Times New Roman"/>
        </w:rPr>
      </w:pPr>
      <w:r>
        <w:rPr>
          <w:rFonts w:cs="Times New Roman" w:ascii="Times New Roman" w:hAnsi="Times New Roman"/>
        </w:rPr>
        <w:t>2020-03-24</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center"/>
        <w:rPr>
          <w:b/>
          <w:b/>
        </w:rPr>
      </w:pPr>
      <w:r>
        <w:rPr>
          <w:b/>
        </w:rPr>
        <w:t>ŠILUTĖS RAJONO SAVIVALDYBĖS ADMINISTRACIJOS</w:t>
      </w:r>
    </w:p>
    <w:p>
      <w:pPr>
        <w:pStyle w:val="Antrat11"/>
        <w:rPr>
          <w:caps/>
        </w:rPr>
      </w:pPr>
      <w:r>
        <w:rPr>
          <w:caps/>
        </w:rPr>
        <w:t xml:space="preserve">PLANAVIMO IR PLĖTROS SKYRIUS                                                                                                                      </w:t>
      </w:r>
    </w:p>
    <w:p>
      <w:pPr>
        <w:pStyle w:val="Antrat11"/>
        <w:rPr>
          <w:caps/>
        </w:rPr>
      </w:pPr>
      <w:r>
        <w:rPr>
          <w:caps/>
        </w:rPr>
      </w:r>
    </w:p>
    <w:p>
      <w:pPr>
        <w:pStyle w:val="Pagrindinistekstas"/>
        <w:jc w:val="center"/>
        <w:rPr>
          <w:b/>
          <w:b/>
          <w:bCs/>
          <w:sz w:val="24"/>
          <w:szCs w:val="24"/>
        </w:rPr>
      </w:pPr>
      <w:r>
        <w:rPr>
          <w:b/>
          <w:bCs/>
          <w:sz w:val="24"/>
          <w:szCs w:val="24"/>
        </w:rPr>
        <w:t>AIŠKINAMASIS RAŠTAS</w:t>
      </w:r>
    </w:p>
    <w:p>
      <w:pPr>
        <w:pStyle w:val="Normal"/>
        <w:jc w:val="center"/>
        <w:rPr>
          <w:b/>
          <w:b/>
          <w:caps/>
        </w:rPr>
      </w:pPr>
      <w:r>
        <w:rPr>
          <w:b/>
          <w:caps/>
        </w:rPr>
        <w:t>DĖL TARYBOS SPRENDIMO PROJEKTO „DĖL PRITARIMO ĮGYVENDINTI PROJEKTĄ „INTRODUCTION OF ECOSYSTEM SERVICES CONCEPT TO THE CROSS-BORDER MANAGEMENT OF NATURAL RESOURCES“ (ECOCROSS) („SUPAŽINDINIMAS SU EKOSISTEMŲ PASLAUGŲ KONCEPCIJA IR TARPTAUTINIU GAMTOS IŠTEKLIŲ VALDYMU“) „</w:t>
      </w:r>
    </w:p>
    <w:p>
      <w:pPr>
        <w:pStyle w:val="Normal"/>
        <w:jc w:val="center"/>
        <w:rPr>
          <w:b/>
          <w:b/>
          <w:caps/>
        </w:rPr>
      </w:pPr>
      <w:r>
        <w:rPr>
          <w:b/>
          <w:caps/>
        </w:rPr>
      </w:r>
    </w:p>
    <w:p>
      <w:pPr>
        <w:pStyle w:val="Normal"/>
        <w:jc w:val="center"/>
        <w:rPr>
          <w:color w:val="000000"/>
        </w:rPr>
      </w:pPr>
      <w:r>
        <w:rPr>
          <w:color w:val="000000"/>
        </w:rPr>
        <w:t>2020 m. kovo 10  d.</w:t>
      </w:r>
    </w:p>
    <w:p>
      <w:pPr>
        <w:pStyle w:val="Normal"/>
        <w:jc w:val="center"/>
        <w:rPr>
          <w:color w:val="000000"/>
        </w:rPr>
      </w:pPr>
      <w:r>
        <w:rPr>
          <w:color w:val="000000"/>
        </w:rPr>
        <w:t>Šilutė</w:t>
      </w:r>
    </w:p>
    <w:p>
      <w:pPr>
        <w:pStyle w:val="Normal"/>
        <w:tabs>
          <w:tab w:val="left" w:pos="567" w:leader="none"/>
        </w:tabs>
        <w:rPr>
          <w:sz w:val="16"/>
          <w:szCs w:val="16"/>
        </w:rPr>
      </w:pPr>
      <w:r>
        <w:rPr>
          <w:sz w:val="16"/>
          <w:szCs w:val="16"/>
        </w:rPr>
      </w:r>
    </w:p>
    <w:p>
      <w:pPr>
        <w:pStyle w:val="Normal"/>
        <w:tabs>
          <w:tab w:val="left" w:pos="567" w:leader="none"/>
        </w:tabs>
        <w:rPr>
          <w:sz w:val="16"/>
          <w:szCs w:val="16"/>
        </w:rPr>
      </w:pPr>
      <w:r>
        <w:rPr>
          <w:sz w:val="16"/>
          <w:szCs w:val="16"/>
        </w:rPr>
      </w:r>
    </w:p>
    <w:tbl>
      <w:tblPr>
        <w:tblW w:w="9948" w:type="dxa"/>
        <w:jc w:val="left"/>
        <w:tblInd w:w="-108" w:type="dxa"/>
        <w:tblBorders/>
        <w:tblCellMar>
          <w:top w:w="0" w:type="dxa"/>
          <w:left w:w="108" w:type="dxa"/>
          <w:bottom w:w="0" w:type="dxa"/>
          <w:right w:w="108" w:type="dxa"/>
        </w:tblCellMar>
        <w:tblLook w:firstRow="0" w:noVBand="0" w:lastRow="0" w:firstColumn="0" w:lastColumn="0" w:noHBand="0" w:val="0000"/>
      </w:tblPr>
      <w:tblGrid>
        <w:gridCol w:w="9948"/>
      </w:tblGrid>
      <w:tr>
        <w:trPr/>
        <w:tc>
          <w:tcPr>
            <w:tcW w:w="9948" w:type="dxa"/>
            <w:tcBorders/>
            <w:shd w:fill="auto" w:val="clear"/>
          </w:tcPr>
          <w:p>
            <w:pPr>
              <w:pStyle w:val="Pagrindinistekstas31"/>
              <w:numPr>
                <w:ilvl w:val="0"/>
                <w:numId w:val="3"/>
              </w:numPr>
              <w:spacing w:before="0" w:after="0"/>
              <w:ind w:left="720" w:right="372" w:hanging="360"/>
              <w:jc w:val="both"/>
              <w:rPr>
                <w:b/>
                <w:b/>
                <w:sz w:val="24"/>
                <w:szCs w:val="24"/>
              </w:rPr>
            </w:pPr>
            <w:r>
              <w:rPr>
                <w:b/>
                <w:sz w:val="24"/>
                <w:szCs w:val="24"/>
              </w:rPr>
              <w:t>Parengto projekto tikslai ir uždaviniai:</w:t>
            </w:r>
          </w:p>
          <w:p>
            <w:pPr>
              <w:pStyle w:val="Normal"/>
              <w:tabs>
                <w:tab w:val="left" w:pos="0" w:leader="none"/>
              </w:tabs>
              <w:ind w:firstLine="720"/>
              <w:jc w:val="both"/>
              <w:rPr/>
            </w:pPr>
            <w:r>
              <w:rPr/>
              <w:t xml:space="preserve">Savivaldybės tarybai pritarus </w:t>
            </w:r>
            <w:r>
              <w:rPr>
                <w:spacing w:val="-6"/>
              </w:rPr>
              <w:t xml:space="preserve">projekto „Introduction of ecosystem services concept to the cross-border manegement of natural resources“ (EcoCross) („Supažindinimas su ekosistemų paslaugų koncepcija ir tarptautiniu gamtos išteklių valdymu“) įgyvendinimui, </w:t>
            </w:r>
            <w:r>
              <w:rPr/>
              <w:t xml:space="preserve"> Šilutės rajono savivaldybė kartu su Klaipėdos universitetu, Rusijos Federacijos Kaliningrado Technikos Universitetu, Kaliningrado srities žemės ūkio ministerija </w:t>
            </w:r>
            <w:r>
              <w:rPr>
                <w:spacing w:val="-6"/>
              </w:rPr>
              <w:t xml:space="preserve">galės teikti paraišką </w:t>
            </w:r>
            <w:r>
              <w:rPr/>
              <w:t xml:space="preserve">pagal 2014-2020 Lietuvos ir Rusijos tarpvalstybinio bendradarbiavimo programą, kad būtų gautas finansavimas, skirtas gamtosauginėms problemoms spręsti. </w:t>
            </w:r>
          </w:p>
        </w:tc>
      </w:tr>
      <w:tr>
        <w:trPr>
          <w:trHeight w:val="559" w:hRule="atLeast"/>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 xml:space="preserve">Kaip šiuo metu yra sureguliuoti projekte aptarti klausimai. </w:t>
            </w:r>
          </w:p>
          <w:p>
            <w:pPr>
              <w:pStyle w:val="Normal"/>
              <w:tabs>
                <w:tab w:val="left" w:pos="0" w:leader="none"/>
              </w:tabs>
              <w:ind w:firstLine="720"/>
              <w:jc w:val="both"/>
              <w:rPr/>
            </w:pPr>
            <w:r>
              <w:rPr/>
              <w:t xml:space="preserve">Šilutės rajono savivaldybės administracija kartu su projekto partneriais planuoja įgyvendinti Lietuvos – Rusijos programos projektą, kuriuo Šilutės rajono savivaldybė planuoja botaninių ir zoologinių duomenų rinkimą rengiant tvarkymo planą Nemuno deltoje, tvarkymo plano rengimą ir gilinimo scenarijų ir nuosėdų transportavimo modeliavimas Nemuno deltoje (Rusnaitės upėje), planuojamas gilinimo poveikio žuvininkystei ir pramoginiam turizmui vertinimas. Šilutės rajono savivaldybė prie projekto </w:t>
            </w:r>
            <w:r>
              <w:rPr>
                <w:spacing w:val="-6"/>
              </w:rPr>
              <w:t xml:space="preserve">prisidės ne mažiau kaip 10 proc. visų projekto partnerio tinkamų išlaidų </w:t>
            </w:r>
            <w:r>
              <w:rPr>
                <w:color w:val="000000"/>
                <w:spacing w:val="-6"/>
                <w:highlight w:val="white"/>
              </w:rPr>
              <w:t>bei</w:t>
            </w:r>
            <w:r>
              <w:rPr>
                <w:rStyle w:val="Appleconvertedspace"/>
                <w:color w:val="000000"/>
                <w:spacing w:val="-6"/>
                <w:highlight w:val="white"/>
              </w:rPr>
              <w:t> </w:t>
            </w:r>
            <w:r>
              <w:rPr>
                <w:color w:val="000000"/>
                <w:spacing w:val="-6"/>
                <w:highlight w:val="white"/>
              </w:rPr>
              <w:t>užtikrins netinkamų finansuoti, tačiau šiam projektui įgyvendinti būtinų išlaidų padengimą ir tinkamų finansuoti išlaidų dalį, kurių nepadengia projektui skiriama parama. Projekto trukmė 18 mėn.</w:t>
            </w:r>
          </w:p>
        </w:tc>
      </w:tr>
      <w:tr>
        <w:trPr/>
        <w:tc>
          <w:tcPr>
            <w:tcW w:w="9948" w:type="dxa"/>
            <w:tcBorders/>
            <w:shd w:fill="auto" w:val="clear"/>
          </w:tcPr>
          <w:p>
            <w:pPr>
              <w:pStyle w:val="Normal"/>
              <w:widowControl/>
              <w:numPr>
                <w:ilvl w:val="0"/>
                <w:numId w:val="3"/>
              </w:numPr>
              <w:suppressAutoHyphens w:val="false"/>
              <w:ind w:left="720" w:right="372" w:hanging="360"/>
              <w:jc w:val="both"/>
              <w:rPr>
                <w:b/>
                <w:b/>
              </w:rPr>
            </w:pPr>
            <w:r>
              <w:rPr>
                <w:b/>
              </w:rPr>
              <w:t xml:space="preserve">Kokių pozityvių rezultatų laukiama. </w:t>
            </w:r>
          </w:p>
          <w:p>
            <w:pPr>
              <w:pStyle w:val="Normal"/>
              <w:ind w:firstLine="738"/>
              <w:rPr/>
            </w:pPr>
            <w:r>
              <w:rPr>
                <w:rFonts w:eastAsia="Thorndale;Times New Roman" w:cs="Thorndale;Times New Roman"/>
                <w:bCs/>
              </w:rPr>
              <w:t xml:space="preserve">Projekte Šilutės rajono savivaldybės administracija Nemuno deltoje planuojama atlikti </w:t>
            </w:r>
            <w:r>
              <w:rPr/>
              <w:t xml:space="preserve">botaninių ir zoologinių duomenų rinkimą rengiant tvarkymo planą, parengti tvarkymo planą ir gilinimo scenarijų bei nuosėdų transportavimo modeliavimą Nemuno deltoje (Rusnaitės upėje), planuojama atlikti gilinimo poveikio žuvininkystei ir pramoginiam turizmui vertinimą. </w:t>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Galimos neigiamos priimto projekto pasekmės ir kokių priemonių reikėtų imtis, kad tokių pasekmių būtų išvengta.</w:t>
            </w:r>
          </w:p>
          <w:p>
            <w:pPr>
              <w:pStyle w:val="Normal"/>
              <w:tabs>
                <w:tab w:val="left" w:pos="0" w:leader="none"/>
              </w:tabs>
              <w:jc w:val="both"/>
              <w:rPr/>
            </w:pPr>
            <w:r>
              <w:rPr>
                <w:rFonts w:eastAsia="Thorndale;Times New Roman" w:cs="Thorndale;Times New Roman"/>
              </w:rPr>
              <w:t xml:space="preserve">          </w:t>
            </w:r>
            <w:r>
              <w:rPr/>
              <w:t>Nenumatoma.</w:t>
            </w:r>
          </w:p>
          <w:p>
            <w:pPr>
              <w:pStyle w:val="Normal"/>
              <w:tabs>
                <w:tab w:val="left" w:pos="0" w:leader="none"/>
              </w:tabs>
              <w:jc w:val="both"/>
              <w:rPr>
                <w:b/>
                <w:b/>
              </w:rPr>
            </w:pPr>
            <w:r>
              <w:rPr>
                <w:b/>
              </w:rPr>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bCs/>
                <w:iCs/>
              </w:rPr>
            </w:pP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pPr>
              <w:pStyle w:val="Normal"/>
              <w:ind w:firstLine="720"/>
              <w:jc w:val="both"/>
              <w:rPr/>
            </w:pPr>
            <w:r>
              <w:rPr>
                <w:lang w:eastAsia="lt-LT"/>
              </w:rPr>
              <w:t xml:space="preserve">Turėtų būti papildytas </w:t>
            </w:r>
            <w:r>
              <w:rPr/>
              <w:t>Šilutės rajono savivaldybės tarybos 2019-12-19 sprendimu Nr. T1-194 patvirtintas Šilutės rajono savivaldybės 2020–2022 metų strateginis veiklos planas.</w:t>
            </w:r>
          </w:p>
          <w:p>
            <w:pPr>
              <w:pStyle w:val="Normal"/>
              <w:ind w:firstLine="720"/>
              <w:jc w:val="both"/>
              <w:rPr/>
            </w:pPr>
            <w:r>
              <w:rPr/>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pPr>
            <w:r>
              <w:rPr>
                <w:b/>
                <w:bCs/>
                <w:iCs/>
              </w:rPr>
              <w:t>Jeigu reikia atlikti sprendimo projekto antikorupcinį vertinimą, sprendžia projekto rengėjas, atsižvelgdamas į Teisės aktų projektų antikorupcinio vertinimo taisykles</w:t>
            </w:r>
            <w:r>
              <w:rPr>
                <w:b/>
                <w:bCs/>
                <w:i/>
                <w:iCs/>
              </w:rPr>
              <w:t>.</w:t>
            </w:r>
            <w:r>
              <w:rPr>
                <w:b/>
              </w:rPr>
              <w:t xml:space="preserve"> </w:t>
            </w:r>
          </w:p>
          <w:p>
            <w:pPr>
              <w:pStyle w:val="Normal"/>
              <w:tabs>
                <w:tab w:val="left" w:pos="0" w:leader="none"/>
              </w:tabs>
              <w:ind w:firstLine="720"/>
              <w:jc w:val="both"/>
              <w:rPr/>
            </w:pPr>
            <w:r>
              <w:rPr/>
              <w:t>Antikorupcinis vertinimas nereikalingas.</w:t>
            </w:r>
          </w:p>
          <w:p>
            <w:pPr>
              <w:pStyle w:val="Normal"/>
              <w:tabs>
                <w:tab w:val="left" w:pos="0" w:leader="none"/>
              </w:tabs>
              <w:ind w:firstLine="720"/>
              <w:jc w:val="both"/>
              <w:rPr/>
            </w:pPr>
            <w:r>
              <w:rPr/>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Projekto rengimo metu gauti specialistų vertinimai ir išvados, ekonominiai apskaičiavimai (sąmatos) ir konkretūs finansavimo šaltiniai.</w:t>
            </w:r>
          </w:p>
          <w:p>
            <w:pPr>
              <w:pStyle w:val="Normal"/>
              <w:tabs>
                <w:tab w:val="left" w:pos="0" w:leader="none"/>
              </w:tabs>
              <w:ind w:firstLine="720"/>
              <w:jc w:val="both"/>
              <w:rPr/>
            </w:pPr>
            <w:r>
              <w:rPr>
                <w:spacing w:val="-6"/>
              </w:rPr>
              <w:t xml:space="preserve">Projektui „Introduction of ecosystem services concept to the cross-border manegement of natural resources“ (EcoCross) („Supažindinimas su ekosistemų paslaugų koncepcija ir tarptautiniu gamtos išteklių valdymu“) Šilutės rajono savivalldybės administracijos daliai įgyvendinti numatyta € 140 000,00 Eur suma, iš jų  126 000.00 Eur Europos Sąjungos struktūrinių fondų lėšos (90 proc.) ir 14 000.00 Eur Šilutės rajono savivaldybės biudžeto lėšos (10 proc.). </w:t>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 xml:space="preserve">Projekto autorius ar autorių grupė. </w:t>
            </w:r>
          </w:p>
          <w:p>
            <w:pPr>
              <w:pStyle w:val="Normal"/>
              <w:rPr/>
            </w:pPr>
            <w:r>
              <w:rPr>
                <w:rFonts w:eastAsia="Thorndale;Times New Roman" w:cs="Thorndale;Times New Roman"/>
                <w:bCs/>
              </w:rPr>
              <w:t xml:space="preserve">            </w:t>
            </w:r>
            <w:r>
              <w:rPr>
                <w:bCs/>
              </w:rPr>
              <w:t>Planavimo ir plėtros skyriaus viešojo administravimo institucijos specialistė Simona Bokštaitė-Dryžienė</w:t>
            </w:r>
          </w:p>
          <w:p>
            <w:pPr>
              <w:pStyle w:val="Normal"/>
              <w:rPr>
                <w:rFonts w:eastAsia="Thorndale;Times New Roman" w:cs="Thorndale;Times New Roman"/>
                <w:bCs/>
              </w:rPr>
            </w:pPr>
            <w:r>
              <w:rPr>
                <w:rFonts w:eastAsia="Thorndale;Times New Roman" w:cs="Thorndale;Times New Roman"/>
                <w:bCs/>
              </w:rPr>
              <w:t xml:space="preserve"> </w:t>
            </w:r>
          </w:p>
        </w:tc>
      </w:tr>
      <w:tr>
        <w:trPr/>
        <w:tc>
          <w:tcPr>
            <w:tcW w:w="9948" w:type="dxa"/>
            <w:tcBorders/>
            <w:shd w:fill="auto" w:val="clear"/>
          </w:tcPr>
          <w:p>
            <w:pPr>
              <w:pStyle w:val="Normal"/>
              <w:widowControl/>
              <w:numPr>
                <w:ilvl w:val="0"/>
                <w:numId w:val="3"/>
              </w:numPr>
              <w:tabs>
                <w:tab w:val="left" w:pos="0" w:leader="none"/>
              </w:tabs>
              <w:suppressAutoHyphens w:val="false"/>
              <w:ind w:left="720" w:right="372" w:hanging="360"/>
              <w:jc w:val="both"/>
              <w:rPr>
                <w:b/>
                <w:b/>
              </w:rPr>
            </w:pPr>
            <w:r>
              <w:rPr>
                <w:b/>
              </w:rPr>
              <w:t>Reikšminiai projekto žodžiai, kurių reikia šiam projektui įtraukti į kompiuterinę paieškos sistemą.</w:t>
            </w:r>
          </w:p>
          <w:p>
            <w:pPr>
              <w:pStyle w:val="Normal"/>
              <w:tabs>
                <w:tab w:val="left" w:pos="0" w:leader="none"/>
              </w:tabs>
              <w:ind w:left="720" w:right="372" w:hanging="0"/>
              <w:jc w:val="both"/>
              <w:rPr/>
            </w:pPr>
            <w:r>
              <w:rPr>
                <w:spacing w:val="-6"/>
              </w:rPr>
              <w:t>EcoCross</w:t>
            </w:r>
          </w:p>
        </w:tc>
      </w:tr>
      <w:tr>
        <w:trPr>
          <w:trHeight w:val="1258" w:hRule="atLeast"/>
        </w:trPr>
        <w:tc>
          <w:tcPr>
            <w:tcW w:w="9948" w:type="dxa"/>
            <w:tcBorders/>
            <w:shd w:fill="auto" w:val="clear"/>
          </w:tcPr>
          <w:p>
            <w:pPr>
              <w:pStyle w:val="Normal"/>
              <w:widowControl/>
              <w:numPr>
                <w:ilvl w:val="0"/>
                <w:numId w:val="3"/>
              </w:numPr>
              <w:suppressAutoHyphens w:val="false"/>
              <w:ind w:left="720" w:right="372" w:hanging="360"/>
              <w:jc w:val="both"/>
              <w:rPr>
                <w:b/>
                <w:b/>
              </w:rPr>
            </w:pPr>
            <w:r>
              <w:rPr>
                <w:b/>
              </w:rPr>
              <w:t xml:space="preserve">Kiti, autorių nuomone, reikalingi pagrindimai ir paaiškinimai. </w:t>
            </w:r>
          </w:p>
          <w:p>
            <w:pPr>
              <w:pStyle w:val="Normal"/>
              <w:tabs>
                <w:tab w:val="left" w:pos="0" w:leader="none"/>
                <w:tab w:val="left" w:pos="576" w:leader="none"/>
              </w:tabs>
              <w:ind w:firstLine="483"/>
              <w:jc w:val="both"/>
              <w:rPr>
                <w:rFonts w:eastAsia="Thorndale;Times New Roman" w:cs="Thorndale;Times New Roman"/>
                <w:bCs/>
                <w:iCs/>
              </w:rPr>
            </w:pPr>
            <w:r>
              <w:rPr>
                <w:rFonts w:eastAsia="Thorndale;Times New Roman" w:cs="Thorndale;Times New Roman"/>
                <w:bCs/>
                <w:iCs/>
              </w:rPr>
              <w:t xml:space="preserve"> </w:t>
            </w:r>
            <w:r>
              <w:rPr>
                <w:rFonts w:eastAsia="Thorndale;Times New Roman" w:cs="Thorndale;Times New Roman"/>
                <w:bCs/>
                <w:iCs/>
              </w:rPr>
              <w:t>Pagrindinis projekto partneris -  Klaipėdos universitetas;</w:t>
            </w:r>
          </w:p>
          <w:p>
            <w:pPr>
              <w:pStyle w:val="Normal"/>
              <w:tabs>
                <w:tab w:val="left" w:pos="0" w:leader="none"/>
                <w:tab w:val="left" w:pos="576" w:leader="none"/>
              </w:tabs>
              <w:ind w:firstLine="483"/>
              <w:jc w:val="both"/>
              <w:rPr/>
            </w:pPr>
            <w:r>
              <w:rPr>
                <w:rFonts w:eastAsia="Thorndale;Times New Roman" w:cs="Thorndale;Times New Roman"/>
                <w:bCs/>
                <w:iCs/>
              </w:rPr>
              <w:t xml:space="preserve"> </w:t>
            </w:r>
            <w:r>
              <w:rPr>
                <w:rFonts w:eastAsia="Thorndale;Times New Roman" w:cs="Thorndale;Times New Roman"/>
                <w:bCs/>
                <w:iCs/>
              </w:rPr>
              <w:t xml:space="preserve">Projekto partneriai - </w:t>
            </w:r>
            <w:r>
              <w:rPr/>
              <w:t xml:space="preserve">Kaliningrado technikos universitetas, Kaliningrado žemės ūkio ministerija ir Šilutės rajono savivaldybė. </w:t>
            </w:r>
          </w:p>
          <w:p>
            <w:pPr>
              <w:pStyle w:val="Normal"/>
              <w:tabs>
                <w:tab w:val="left" w:pos="0" w:leader="none"/>
                <w:tab w:val="left" w:pos="576" w:leader="none"/>
              </w:tabs>
              <w:ind w:firstLine="483"/>
              <w:jc w:val="both"/>
              <w:rPr>
                <w:bCs/>
                <w:i/>
                <w:i/>
                <w:iCs/>
              </w:rPr>
            </w:pPr>
            <w:r>
              <w:rPr>
                <w:bCs/>
                <w:i/>
                <w:iCs/>
              </w:rPr>
            </w:r>
          </w:p>
          <w:p>
            <w:pPr>
              <w:pStyle w:val="Normal"/>
              <w:rPr>
                <w:bCs/>
                <w:i/>
                <w:i/>
                <w:iCs/>
              </w:rPr>
            </w:pPr>
            <w:r>
              <w:rPr>
                <w:bCs/>
                <w:i/>
                <w:iCs/>
              </w:rPr>
            </w:r>
          </w:p>
        </w:tc>
      </w:tr>
    </w:tbl>
    <w:p>
      <w:pPr>
        <w:pStyle w:val="Normal"/>
        <w:rPr/>
      </w:pPr>
      <w:r>
        <w:rPr/>
      </w:r>
    </w:p>
    <w:tbl>
      <w:tblPr>
        <w:tblW w:w="9948" w:type="dxa"/>
        <w:jc w:val="left"/>
        <w:tblInd w:w="-108" w:type="dxa"/>
        <w:tblBorders/>
        <w:tblCellMar>
          <w:top w:w="0" w:type="dxa"/>
          <w:left w:w="108" w:type="dxa"/>
          <w:bottom w:w="0" w:type="dxa"/>
          <w:right w:w="108" w:type="dxa"/>
        </w:tblCellMar>
        <w:tblLook w:firstRow="0" w:noVBand="0" w:lastRow="0" w:firstColumn="0" w:lastColumn="0" w:noHBand="0" w:val="0000"/>
      </w:tblPr>
      <w:tblGrid>
        <w:gridCol w:w="9948"/>
      </w:tblGrid>
      <w:tr>
        <w:trPr>
          <w:trHeight w:val="116" w:hRule="atLeast"/>
        </w:trPr>
        <w:tc>
          <w:tcPr>
            <w:tcW w:w="9948" w:type="dxa"/>
            <w:tcBorders/>
            <w:shd w:fill="auto" w:val="clear"/>
          </w:tcPr>
          <w:p>
            <w:pPr>
              <w:pStyle w:val="Normal"/>
              <w:tabs>
                <w:tab w:val="left" w:pos="7371" w:leader="none"/>
                <w:tab w:val="left" w:pos="7513" w:leader="none"/>
              </w:tabs>
              <w:rPr>
                <w:bCs/>
              </w:rPr>
            </w:pPr>
            <w:r>
              <w:rPr>
                <w:bCs/>
              </w:rPr>
              <w:t>Planavimo ir plėtros skyriaus</w:t>
            </w:r>
          </w:p>
          <w:p>
            <w:pPr>
              <w:pStyle w:val="Normal"/>
              <w:tabs>
                <w:tab w:val="left" w:pos="7371" w:leader="none"/>
                <w:tab w:val="left" w:pos="7513" w:leader="none"/>
              </w:tabs>
              <w:rPr/>
            </w:pPr>
            <w:r>
              <w:rPr>
                <w:bCs/>
              </w:rPr>
              <w:t>Viešojo administravimo institucijos specialistė</w:t>
            </w:r>
            <w:r>
              <w:rPr/>
              <w:t xml:space="preserve">                                      Simona Bokštaitė-Dryžienė</w:t>
            </w:r>
          </w:p>
        </w:tc>
      </w:tr>
    </w:tbl>
    <w:p>
      <w:pPr>
        <w:pStyle w:val="Normal"/>
        <w:rPr/>
      </w:pPr>
      <w:r>
        <w:rPr/>
      </w:r>
    </w:p>
    <w:p>
      <w:pPr>
        <w:pStyle w:val="Normal"/>
        <w:tabs>
          <w:tab w:val="left" w:pos="0" w:leader="none"/>
          <w:tab w:val="left" w:pos="576" w:leader="none"/>
        </w:tabs>
        <w:ind w:firstLine="483"/>
        <w:jc w:val="both"/>
        <w:rPr>
          <w:rFonts w:eastAsia="Thorndale;Times New Roman" w:cs="Thorndale;Times New Roman"/>
          <w:iCs/>
        </w:rPr>
      </w:pPr>
      <w:r>
        <w:rPr>
          <w:rFonts w:eastAsia="Thorndale;Times New Roman" w:cs="Thorndale;Times New Roman"/>
          <w:iCs/>
        </w:rPr>
        <w:t xml:space="preserve"> </w:t>
      </w:r>
    </w:p>
    <w:p>
      <w:pPr>
        <w:pStyle w:val="Normal"/>
        <w:rPr>
          <w:iCs/>
        </w:rPr>
      </w:pPr>
      <w:r>
        <w:rPr>
          <w:iCs/>
        </w:rPr>
      </w:r>
    </w:p>
    <w:p>
      <w:pPr>
        <w:pStyle w:val="Normal"/>
        <w:rPr>
          <w:bCs/>
          <w:iCs/>
        </w:rPr>
      </w:pPr>
      <w:r>
        <w:rPr>
          <w:bCs/>
          <w:iCs/>
        </w:rPr>
      </w:r>
    </w:p>
    <w:p>
      <w:pPr>
        <w:pStyle w:val="Normal"/>
        <w:rPr/>
      </w:pPr>
      <w:r>
        <w:rPr/>
      </w:r>
    </w:p>
    <w:sectPr>
      <w:headerReference w:type="default" r:id="rId2"/>
      <w:footerReference w:type="default" r:id="rId3"/>
      <w:type w:val="nextPage"/>
      <w:pgSz w:w="11906" w:h="16838"/>
      <w:pgMar w:left="1701" w:right="567" w:header="567" w:top="1134" w:footer="567"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horndale">
    <w:altName w:val="Times New Roman"/>
    <w:charset w:val="ba"/>
    <w:family w:val="roman"/>
    <w:pitch w:val="variable"/>
  </w:font>
  <w:font w:name="Arial">
    <w:charset w:val="ba"/>
    <w:family w:val="roman"/>
    <w:pitch w:val="variable"/>
  </w:font>
  <w:font w:name="Calibri Light">
    <w:charset w:val="ba"/>
    <w:family w:val="roman"/>
    <w:pitch w:val="variable"/>
  </w:font>
  <w:font w:name="Segoe UI">
    <w:charset w:val="ba"/>
    <w:family w:val="roman"/>
    <w:pitch w:val="variable"/>
  </w:font>
  <w:font w:name="Times New Roman">
    <w:charset w:val="01"/>
    <w:family w:val="roman"/>
    <w:pitch w:val="default"/>
  </w:font>
  <w:font w:name="Times New Roman">
    <w:charset w:val="ba"/>
    <w:family w:val="roman"/>
    <w:pitch w:val="variable"/>
  </w:font>
  <w:font w:name="TimesLT">
    <w:altName w:val="Times New Roman"/>
    <w:charset w:val="ba"/>
    <w:family w:val="roman"/>
    <w:pitch w:val="variable"/>
  </w:font>
  <w:font w:name="Verdana">
    <w:charset w:val="ba"/>
    <w:family w:val="roman"/>
    <w:pitch w:val="variable"/>
  </w:font>
  <w:font w:name="Tahoma">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enter" w:pos="4819" w:leader="none"/>
        <w:tab w:val="right" w:pos="9638" w:leader="none"/>
      </w:tabs>
      <w:suppressAutoHyphens w:val="false"/>
      <w:jc w:val="right"/>
      <w:rPr/>
    </w:pPr>
    <w:r>
      <w:rPr>
        <w:rFonts w:cs="Times New Roman"/>
        <w:sz w:val="20"/>
        <w:szCs w:val="20"/>
      </w:rPr>
      <w:fldChar w:fldCharType="begin"/>
    </w:r>
    <w:r>
      <w:rPr>
        <w:sz w:val="20"/>
        <w:szCs w:val="20"/>
        <w:rFonts w:cs="Times New Roman"/>
      </w:rPr>
      <w:instrText> FILENAME \p </w:instrText>
    </w:r>
    <w:r>
      <w:rPr>
        <w:sz w:val="20"/>
        <w:szCs w:val="20"/>
        <w:rFonts w:cs="Times New Roman"/>
      </w:rPr>
      <w:fldChar w:fldCharType="separate"/>
    </w:r>
    <w:r>
      <w:rPr>
        <w:sz w:val="20"/>
        <w:szCs w:val="20"/>
        <w:rFonts w:cs="Times New Roman"/>
      </w:rPr>
      <w:t>P:\Tarybos_projektai_2011-2019\2020 metai\Balandzio 30\PPS09KJ.docx</w:t>
    </w:r>
    <w:r>
      <w:rPr>
        <w:sz w:val="20"/>
        <w:szCs w:val="20"/>
        <w:rFonts w:cs="Times New Roman"/>
      </w:rPr>
      <w:fldChar w:fldCharType="end"/>
    </w:r>
  </w:p>
  <w:p>
    <w:pPr>
      <w:pStyle w:val="Puslapinporat"/>
      <w:jc w:val="right"/>
      <w:rPr>
        <w:rFonts w:ascii="Times New Roman" w:hAnsi="Times New Roman" w:cs="Times New Roman"/>
        <w:sz w:val="20"/>
        <w:szCs w:val="20"/>
        <w:lang w:eastAsia="lt-LT"/>
      </w:rPr>
    </w:pPr>
    <w:r>
      <w:rPr>
        <w:rFonts w:cs="Times New Roman" w:ascii="Times New Roman" w:hAnsi="Times New Roman"/>
        <w:sz w:val="20"/>
        <w:szCs w:val="20"/>
        <w:lang w:eastAsia="lt-L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antrat"/>
      <w:jc w:val="right"/>
      <w:rPr>
        <w:b/>
        <w:b/>
      </w:rPr>
    </w:pPr>
    <w:r>
      <w:rPr>
        <w:b/>
      </w:rPr>
      <w:t>Projektas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Antrat1"/>
      <w:numFmt w:val="none"/>
      <w:suff w:val="nothing"/>
      <w:lvlText w:val=""/>
      <w:lvlJc w:val="left"/>
      <w:pPr>
        <w:ind w:left="0" w:hanging="0"/>
      </w:pPr>
    </w:lvl>
    <w:lvl w:ilvl="1">
      <w:start w:val="1"/>
      <w:pStyle w:val="Antrat2"/>
      <w:numFmt w:val="none"/>
      <w:suff w:val="nothing"/>
      <w:lvlText w:val=""/>
      <w:lvlJc w:val="left"/>
      <w:pPr>
        <w:ind w:left="0" w:hanging="0"/>
      </w:pPr>
    </w:lvl>
    <w:lvl w:ilvl="2">
      <w:start w:val="1"/>
      <w:pStyle w:val="Antrat3"/>
      <w:numFmt w:val="none"/>
      <w:suff w:val="nothing"/>
      <w:lvlText w:val=""/>
      <w:lvlJc w:val="left"/>
      <w:pPr>
        <w:ind w:left="0" w:hanging="0"/>
      </w:pPr>
    </w:lvl>
    <w:lvl w:ilvl="3">
      <w:start w:val="1"/>
      <w:pStyle w:val="Antrat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140" w:hanging="360"/>
      </w:pPr>
      <w:rPr>
        <w:spacing w:val="-6"/>
      </w:rPr>
    </w:lvl>
    <w:lvl w:ilvl="1">
      <w:start w:val="1"/>
      <w:numFmt w:val="none"/>
      <w:suff w:val="nothing"/>
      <w:lvlText w:val=""/>
      <w:lvlJc w:val="left"/>
      <w:pPr>
        <w:ind w:left="1080" w:hanging="0"/>
      </w:pPr>
    </w:lvl>
    <w:lvl w:ilvl="2">
      <w:start w:val="1"/>
      <w:numFmt w:val="none"/>
      <w:suff w:val="nothing"/>
      <w:lvlText w:val=""/>
      <w:lvlJc w:val="left"/>
      <w:pPr>
        <w:ind w:left="1440" w:hanging="0"/>
      </w:pPr>
    </w:lvl>
    <w:lvl w:ilvl="3">
      <w:start w:val="1"/>
      <w:numFmt w:val="none"/>
      <w:suff w:val="nothing"/>
      <w:lvlText w:val=""/>
      <w:lvlJc w:val="left"/>
      <w:pPr>
        <w:ind w:left="1800" w:hanging="0"/>
      </w:pPr>
    </w:lvl>
    <w:lvl w:ilvl="4">
      <w:start w:val="1"/>
      <w:numFmt w:val="none"/>
      <w:suff w:val="nothing"/>
      <w:lvlText w:val=""/>
      <w:lvlJc w:val="left"/>
      <w:pPr>
        <w:ind w:left="2160" w:hanging="0"/>
      </w:pPr>
    </w:lvl>
    <w:lvl w:ilvl="5">
      <w:start w:val="1"/>
      <w:numFmt w:val="none"/>
      <w:suff w:val="nothing"/>
      <w:lvlText w:val=""/>
      <w:lvlJc w:val="left"/>
      <w:pPr>
        <w:ind w:left="2520" w:hanging="0"/>
      </w:pPr>
    </w:lvl>
    <w:lvl w:ilvl="6">
      <w:start w:val="1"/>
      <w:numFmt w:val="none"/>
      <w:suff w:val="nothing"/>
      <w:lvlText w:val=""/>
      <w:lvlJc w:val="left"/>
      <w:pPr>
        <w:ind w:left="2880" w:hanging="0"/>
      </w:pPr>
    </w:lvl>
    <w:lvl w:ilvl="7">
      <w:start w:val="1"/>
      <w:numFmt w:val="none"/>
      <w:suff w:val="nothing"/>
      <w:lvlText w:val=""/>
      <w:lvlJc w:val="left"/>
      <w:pPr>
        <w:ind w:left="3240" w:hanging="0"/>
      </w:pPr>
    </w:lvl>
    <w:lvl w:ilvl="8">
      <w:start w:val="1"/>
      <w:numFmt w:val="none"/>
      <w:suff w:val="nothing"/>
      <w:lvlText w:val=""/>
      <w:lvlJc w:val="left"/>
      <w:pPr>
        <w:ind w:left="3600" w:hanging="0"/>
      </w:pPr>
    </w:lvl>
  </w:abstractNum>
  <w:abstractNum w:abstractNumId="3">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129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lt-LT"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jc w:val="left"/>
    </w:pPr>
    <w:rPr>
      <w:rFonts w:ascii="Thorndale;Times New Roman" w:hAnsi="Thorndale;Times New Roman" w:eastAsia="Times New Roman" w:cs="Tahoma"/>
      <w:color w:val="auto"/>
      <w:kern w:val="0"/>
      <w:sz w:val="24"/>
      <w:szCs w:val="24"/>
      <w:lang w:bidi="ar-SA" w:val="lt-LT" w:eastAsia="zh-CN"/>
    </w:rPr>
  </w:style>
  <w:style w:type="paragraph" w:styleId="Antrat1">
    <w:name w:val="Heading 1"/>
    <w:basedOn w:val="Normal"/>
    <w:qFormat/>
    <w:pPr>
      <w:keepNext w:val="true"/>
      <w:widowControl/>
      <w:numPr>
        <w:ilvl w:val="0"/>
        <w:numId w:val="1"/>
      </w:numPr>
      <w:suppressAutoHyphens w:val="false"/>
      <w:spacing w:before="240" w:after="60"/>
      <w:outlineLvl w:val="0"/>
    </w:pPr>
    <w:rPr>
      <w:rFonts w:ascii="Arial" w:hAnsi="Arial" w:cs="Arial"/>
      <w:b/>
      <w:bCs/>
      <w:kern w:val="2"/>
      <w:sz w:val="32"/>
      <w:szCs w:val="32"/>
      <w:lang w:val="en-GB"/>
    </w:rPr>
  </w:style>
  <w:style w:type="paragraph" w:styleId="Antrat2">
    <w:name w:val="Heading 2"/>
    <w:basedOn w:val="Normal"/>
    <w:qFormat/>
    <w:pPr>
      <w:keepNext w:val="true"/>
      <w:numPr>
        <w:ilvl w:val="1"/>
        <w:numId w:val="1"/>
      </w:numPr>
      <w:spacing w:before="240" w:after="60"/>
      <w:outlineLvl w:val="1"/>
    </w:pPr>
    <w:rPr>
      <w:rFonts w:ascii="Arial" w:hAnsi="Arial" w:cs="Arial"/>
      <w:b/>
      <w:bCs/>
      <w:i/>
      <w:iCs/>
      <w:sz w:val="28"/>
      <w:szCs w:val="28"/>
    </w:rPr>
  </w:style>
  <w:style w:type="paragraph" w:styleId="Antrat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Antrat4">
    <w:name w:val="Heading 4"/>
    <w:basedOn w:val="Normal"/>
    <w:qFormat/>
    <w:pPr>
      <w:keepNext w:val="true"/>
      <w:keepLines/>
      <w:numPr>
        <w:ilvl w:val="3"/>
        <w:numId w:val="1"/>
      </w:numPr>
      <w:spacing w:before="40" w:after="0"/>
      <w:outlineLvl w:val="3"/>
    </w:pPr>
    <w:rPr>
      <w:rFonts w:ascii="Calibri Light" w:hAnsi="Calibri Light" w:cs="Times New Roman"/>
      <w:i/>
      <w:iCs/>
      <w:color w:val="2E74B5"/>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pacing w:val="-6"/>
    </w:rPr>
  </w:style>
  <w:style w:type="character" w:styleId="WW8Num3z0" w:customStyle="1">
    <w:name w:val="WW8Num3z0"/>
    <w:qFormat/>
    <w:rPr>
      <w:b/>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Numatytasispastraiposriftas1" w:customStyle="1">
    <w:name w:val="Numatytasis pastraipos šriftas1"/>
    <w:qFormat/>
    <w:rPr/>
  </w:style>
  <w:style w:type="character" w:styleId="Numatytasispastraiposriftas3" w:customStyle="1">
    <w:name w:val="Numatytasis pastraipos šriftas3"/>
    <w:qFormat/>
    <w:rPr/>
  </w:style>
  <w:style w:type="character" w:styleId="WW8Num4z0" w:customStyle="1">
    <w:name w:val="WW8Num4z0"/>
    <w:qFormat/>
    <w:rPr>
      <w:b/>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Numatytasispastraiposriftas2" w:customStyle="1">
    <w:name w:val="Numatytasis pastraipos šriftas2"/>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5z0" w:customStyle="1">
    <w:name w:val="WW8Num5z0"/>
    <w:qFormat/>
    <w:rPr>
      <w:b/>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Internetosaitas" w:customStyle="1">
    <w:name w:val="Interneto saitas"/>
    <w:rPr>
      <w:color w:val="0000FF"/>
      <w:u w:val="single"/>
    </w:rPr>
  </w:style>
  <w:style w:type="character" w:styleId="Antrat4Diagrama" w:customStyle="1">
    <w:name w:val="Antraštė 4 Diagrama"/>
    <w:qFormat/>
    <w:rPr>
      <w:rFonts w:ascii="Calibri Light" w:hAnsi="Calibri Light" w:eastAsia="Times New Roman" w:cs="Times New Roman"/>
      <w:i/>
      <w:iCs/>
      <w:color w:val="2E74B5"/>
      <w:sz w:val="24"/>
      <w:szCs w:val="24"/>
    </w:rPr>
  </w:style>
  <w:style w:type="character" w:styleId="Appleconvertedspace" w:customStyle="1">
    <w:name w:val="apple-converted-space"/>
    <w:basedOn w:val="Numatytasispastraiposriftas1"/>
    <w:qFormat/>
    <w:rPr/>
  </w:style>
  <w:style w:type="character" w:styleId="PagrindiniotekstotraukaDiagrama" w:customStyle="1">
    <w:name w:val="Pagrindinio teksto įtrauka Diagrama"/>
    <w:qFormat/>
    <w:rPr>
      <w:sz w:val="24"/>
      <w:szCs w:val="24"/>
      <w:lang w:val="en-GB"/>
    </w:rPr>
  </w:style>
  <w:style w:type="character" w:styleId="PavadinimasDiagrama" w:customStyle="1">
    <w:name w:val="Pavadinimas Diagrama"/>
    <w:qFormat/>
    <w:rPr>
      <w:b/>
      <w:sz w:val="24"/>
      <w:szCs w:val="24"/>
    </w:rPr>
  </w:style>
  <w:style w:type="character" w:styleId="PagrindinistekstasDiagrama" w:customStyle="1">
    <w:name w:val="Pagrindinis tekstas Diagrama"/>
    <w:qFormat/>
    <w:rPr>
      <w:sz w:val="26"/>
    </w:rPr>
  </w:style>
  <w:style w:type="character" w:styleId="Pagrindinistekstas3Diagrama" w:customStyle="1">
    <w:name w:val="Pagrindinis tekstas 3 Diagrama"/>
    <w:qFormat/>
    <w:rPr>
      <w:sz w:val="16"/>
      <w:szCs w:val="16"/>
    </w:rPr>
  </w:style>
  <w:style w:type="character" w:styleId="Vietosrezervavimoenklotekstas1" w:customStyle="1">
    <w:name w:val="Vietos rezervavimo ženklo tekstas1"/>
    <w:qFormat/>
    <w:rPr>
      <w:color w:val="808080"/>
    </w:rPr>
  </w:style>
  <w:style w:type="character" w:styleId="DataDiagrama" w:customStyle="1">
    <w:name w:val="Data Diagrama"/>
    <w:qFormat/>
    <w:rPr>
      <w:rFonts w:ascii="Thorndale;Times New Roman" w:hAnsi="Thorndale;Times New Roman" w:cs="Tahoma"/>
      <w:sz w:val="24"/>
      <w:szCs w:val="24"/>
      <w:lang w:eastAsia="zh-CN"/>
    </w:rPr>
  </w:style>
  <w:style w:type="character" w:styleId="DebesliotekstasDiagrama" w:customStyle="1">
    <w:name w:val="Debesėlio tekstas Diagrama"/>
    <w:basedOn w:val="DefaultParagraphFont"/>
    <w:link w:val="Debesliotekstas"/>
    <w:uiPriority w:val="99"/>
    <w:semiHidden/>
    <w:qFormat/>
    <w:rsid w:val="003071bd"/>
    <w:rPr>
      <w:rFonts w:ascii="Segoe UI" w:hAnsi="Segoe UI" w:eastAsia="Times New Roman" w:cs="Segoe UI"/>
      <w:sz w:val="18"/>
      <w:szCs w:val="18"/>
      <w:lang w:bidi="ar-SA"/>
    </w:rPr>
  </w:style>
  <w:style w:type="character" w:styleId="ListLabel1" w:customStyle="1">
    <w:name w:val="ListLabel 1"/>
    <w:qFormat/>
    <w:rPr>
      <w:spacing w:val="-6"/>
    </w:rPr>
  </w:style>
  <w:style w:type="character" w:styleId="ListLabel2" w:customStyle="1">
    <w:name w:val="ListLabel 2"/>
    <w:qFormat/>
    <w:rPr>
      <w:b/>
      <w:sz w:val="24"/>
    </w:rPr>
  </w:style>
  <w:style w:type="character" w:styleId="ListLabel3">
    <w:name w:val="ListLabel 3"/>
    <w:qFormat/>
    <w:rPr>
      <w:spacing w:val="-6"/>
    </w:rPr>
  </w:style>
  <w:style w:type="character" w:styleId="ListLabel4">
    <w:name w:val="ListLabel 4"/>
    <w:qFormat/>
    <w:rPr>
      <w:b/>
      <w:sz w:val="24"/>
    </w:rPr>
  </w:style>
  <w:style w:type="paragraph" w:styleId="Antrat">
    <w:name w:val="Antraštė"/>
    <w:basedOn w:val="Normal"/>
    <w:next w:val="Pagrindinistekstas"/>
    <w:qFormat/>
    <w:pPr>
      <w:keepNext w:val="true"/>
      <w:spacing w:before="240" w:after="120"/>
    </w:pPr>
    <w:rPr>
      <w:rFonts w:ascii="Times New Roman" w:hAnsi="Times New Roman" w:eastAsia="Microsoft YaHei" w:cs="Arial"/>
      <w:sz w:val="28"/>
      <w:szCs w:val="28"/>
    </w:rPr>
  </w:style>
  <w:style w:type="paragraph" w:styleId="Pagrindinistekstas">
    <w:name w:val="Body Text"/>
    <w:basedOn w:val="Normal"/>
    <w:pPr>
      <w:widowControl/>
      <w:suppressAutoHyphens w:val="false"/>
      <w:spacing w:before="0" w:after="120"/>
    </w:pPr>
    <w:rPr>
      <w:rFonts w:ascii="Times New Roman" w:hAnsi="Times New Roman" w:cs="Times New Roman"/>
      <w:sz w:val="26"/>
      <w:szCs w:val="20"/>
    </w:rPr>
  </w:style>
  <w:style w:type="paragraph" w:styleId="Sraas">
    <w:name w:val="List"/>
    <w:basedOn w:val="Pagrindinistekstas"/>
    <w:pPr/>
    <w:rPr>
      <w:rFonts w:cs="Lucida Sans;Arial"/>
    </w:rPr>
  </w:style>
  <w:style w:type="paragraph" w:styleId="Pavadinimas">
    <w:name w:val="Caption"/>
    <w:basedOn w:val="Normal"/>
    <w:qFormat/>
    <w:pPr>
      <w:suppressLineNumbers/>
      <w:spacing w:before="120" w:after="120"/>
    </w:pPr>
    <w:rPr>
      <w:rFonts w:ascii="Times New Roman" w:hAnsi="Times New Roman" w:cs="Arial"/>
      <w:i/>
      <w:iCs/>
      <w:sz w:val="24"/>
      <w:szCs w:val="24"/>
    </w:rPr>
  </w:style>
  <w:style w:type="paragraph" w:styleId="Rodykl" w:customStyle="1">
    <w:name w:val="Rodyklė"/>
    <w:basedOn w:val="Normal"/>
    <w:qFormat/>
    <w:pPr>
      <w:suppressLineNumbers/>
    </w:pPr>
    <w:rPr>
      <w:rFonts w:ascii="Times New Roman" w:hAnsi="Times New Roman" w:cs="Lucida Sans;Arial"/>
    </w:rPr>
  </w:style>
  <w:style w:type="paragraph" w:styleId="Caption">
    <w:name w:val="caption"/>
    <w:basedOn w:val="Normal"/>
    <w:qFormat/>
    <w:pPr>
      <w:suppressLineNumbers/>
      <w:spacing w:before="120" w:after="120"/>
    </w:pPr>
    <w:rPr>
      <w:rFonts w:ascii="Times New Roman" w:hAnsi="Times New Roman" w:cs="Arial"/>
      <w:i/>
      <w:iCs/>
    </w:rPr>
  </w:style>
  <w:style w:type="paragraph" w:styleId="Antrat11" w:customStyle="1">
    <w:name w:val="Antraštė1"/>
    <w:basedOn w:val="Normal"/>
    <w:qFormat/>
    <w:pPr>
      <w:widowControl/>
      <w:suppressAutoHyphens w:val="false"/>
      <w:jc w:val="center"/>
    </w:pPr>
    <w:rPr>
      <w:rFonts w:ascii="Times New Roman" w:hAnsi="Times New Roman" w:cs="Times New Roman"/>
      <w:b/>
    </w:rPr>
  </w:style>
  <w:style w:type="paragraph" w:styleId="Antrat31" w:customStyle="1">
    <w:name w:val="Antraštė3"/>
    <w:basedOn w:val="Normal"/>
    <w:qFormat/>
    <w:pPr>
      <w:suppressLineNumbers/>
      <w:spacing w:before="120" w:after="120"/>
    </w:pPr>
    <w:rPr>
      <w:rFonts w:cs="Lucida Sans;Arial"/>
      <w:i/>
      <w:iCs/>
    </w:rPr>
  </w:style>
  <w:style w:type="paragraph" w:styleId="Antrat21" w:customStyle="1">
    <w:name w:val="Antraštė2"/>
    <w:basedOn w:val="Normal"/>
    <w:qFormat/>
    <w:pPr>
      <w:suppressLineNumbers/>
      <w:spacing w:before="120" w:after="120"/>
    </w:pPr>
    <w:rPr>
      <w:rFonts w:ascii="Times New Roman" w:hAnsi="Times New Roman" w:cs="Lucida Sans;Arial"/>
      <w:i/>
      <w:iCs/>
    </w:rPr>
  </w:style>
  <w:style w:type="paragraph" w:styleId="MAZAS" w:customStyle="1">
    <w:name w:val="MAZAS"/>
    <w:qFormat/>
    <w:pPr>
      <w:widowControl/>
      <w:suppressAutoHyphens w:val="true"/>
      <w:bidi w:val="0"/>
      <w:ind w:firstLine="312"/>
      <w:jc w:val="both"/>
    </w:pPr>
    <w:rPr>
      <w:rFonts w:ascii="TimesLT;Times New Roman" w:hAnsi="TimesLT;Times New Roman" w:eastAsia="Times New Roman" w:cs="TimesLT;Times New Roman"/>
      <w:color w:val="000000"/>
      <w:kern w:val="0"/>
      <w:sz w:val="8"/>
      <w:szCs w:val="8"/>
      <w:lang w:val="en-US" w:bidi="ar-SA" w:eastAsia="zh-CN"/>
    </w:rPr>
  </w:style>
  <w:style w:type="paragraph" w:styleId="Patvirtinta" w:customStyle="1">
    <w:name w:val="Patvirtinta"/>
    <w:qFormat/>
    <w:pPr>
      <w:widowControl/>
      <w:tabs>
        <w:tab w:val="left" w:pos="1304" w:leader="none"/>
        <w:tab w:val="left" w:pos="1457" w:leader="none"/>
        <w:tab w:val="left" w:pos="1604" w:leader="none"/>
        <w:tab w:val="left" w:pos="1757" w:leader="none"/>
      </w:tabs>
      <w:suppressAutoHyphens w:val="true"/>
      <w:bidi w:val="0"/>
      <w:ind w:left="5953" w:hanging="0"/>
      <w:jc w:val="left"/>
    </w:pPr>
    <w:rPr>
      <w:rFonts w:ascii="TimesLT;Times New Roman" w:hAnsi="TimesLT;Times New Roman" w:eastAsia="Times New Roman" w:cs="TimesLT;Times New Roman"/>
      <w:color w:val="auto"/>
      <w:kern w:val="0"/>
      <w:sz w:val="24"/>
      <w:szCs w:val="20"/>
      <w:lang w:val="en-US" w:bidi="ar-SA" w:eastAsia="zh-CN"/>
    </w:rPr>
  </w:style>
  <w:style w:type="paragraph" w:styleId="CharCharDiagramaDiagramaDiagramaDiagrama" w:customStyle="1">
    <w:name w:val="Char Char Diagrama Diagrama Diagrama Diagrama"/>
    <w:basedOn w:val="Normal"/>
    <w:qFormat/>
    <w:pPr>
      <w:widowControl/>
      <w:suppressAutoHyphens w:val="false"/>
      <w:spacing w:lineRule="exact" w:line="240" w:before="0" w:after="160"/>
    </w:pPr>
    <w:rPr>
      <w:rFonts w:ascii="Verdana" w:hAnsi="Verdana" w:cs="Times New Roman"/>
      <w:sz w:val="20"/>
      <w:szCs w:val="20"/>
      <w:lang w:val="en-US"/>
    </w:rPr>
  </w:style>
  <w:style w:type="paragraph" w:styleId="ISTATYMAS" w:customStyle="1">
    <w:name w:val="ISTATYMAS"/>
    <w:qFormat/>
    <w:pPr>
      <w:widowControl/>
      <w:suppressAutoHyphens w:val="true"/>
      <w:bidi w:val="0"/>
      <w:jc w:val="center"/>
    </w:pPr>
    <w:rPr>
      <w:rFonts w:ascii="TimesLT;Times New Roman" w:hAnsi="TimesLT;Times New Roman" w:eastAsia="Times New Roman" w:cs="TimesLT;Times New Roman"/>
      <w:color w:val="auto"/>
      <w:kern w:val="0"/>
      <w:sz w:val="24"/>
      <w:szCs w:val="20"/>
      <w:lang w:val="en-US" w:bidi="ar-SA" w:eastAsia="zh-CN"/>
    </w:rPr>
  </w:style>
  <w:style w:type="paragraph" w:styleId="Pavadinimas1" w:customStyle="1">
    <w:name w:val="Pavadinimas1"/>
    <w:basedOn w:val="Normal"/>
    <w:qFormat/>
    <w:pPr>
      <w:keepLines/>
      <w:widowControl/>
      <w:spacing w:lineRule="auto" w:line="288"/>
      <w:ind w:left="850" w:hanging="0"/>
    </w:pPr>
    <w:rPr>
      <w:rFonts w:ascii="Times New Roman" w:hAnsi="Times New Roman" w:cs="Times New Roman"/>
      <w:b/>
      <w:bCs/>
      <w:caps/>
      <w:color w:val="000000"/>
      <w:sz w:val="22"/>
      <w:szCs w:val="22"/>
    </w:rPr>
  </w:style>
  <w:style w:type="paragraph" w:styleId="Debesliotekstas1" w:customStyle="1">
    <w:name w:val="Debesėlio tekstas1"/>
    <w:basedOn w:val="Normal"/>
    <w:qFormat/>
    <w:pPr/>
    <w:rPr>
      <w:rFonts w:ascii="Tahoma" w:hAnsi="Tahoma"/>
      <w:sz w:val="16"/>
      <w:szCs w:val="16"/>
    </w:rPr>
  </w:style>
  <w:style w:type="paragraph" w:styleId="Puslapinantrat">
    <w:name w:val="Header"/>
    <w:basedOn w:val="Normal"/>
    <w:pPr/>
    <w:rPr/>
  </w:style>
  <w:style w:type="paragraph" w:styleId="Puslapinporat">
    <w:name w:val="Footer"/>
    <w:basedOn w:val="Normal"/>
    <w:pPr/>
    <w:rPr/>
  </w:style>
  <w:style w:type="paragraph" w:styleId="Betarp1" w:customStyle="1">
    <w:name w:val="Be tarpų1"/>
    <w:qFormat/>
    <w:pPr>
      <w:widowControl/>
      <w:suppressAutoHyphens w:val="true"/>
      <w:bidi w:val="0"/>
      <w:jc w:val="left"/>
    </w:pPr>
    <w:rPr>
      <w:rFonts w:ascii="Times New Roman" w:hAnsi="Times New Roman" w:eastAsia="Times New Roman" w:cs="Times New Roman"/>
      <w:color w:val="auto"/>
      <w:kern w:val="0"/>
      <w:sz w:val="24"/>
      <w:szCs w:val="24"/>
      <w:lang w:val="en-GB" w:bidi="ar-SA" w:eastAsia="zh-CN"/>
    </w:rPr>
  </w:style>
  <w:style w:type="paragraph" w:styleId="Pagrindiniotekstotrauka">
    <w:name w:val="Body Text Indent"/>
    <w:basedOn w:val="Normal"/>
    <w:pPr>
      <w:widowControl/>
      <w:suppressAutoHyphens w:val="false"/>
      <w:ind w:firstLine="720"/>
    </w:pPr>
    <w:rPr>
      <w:rFonts w:ascii="Times New Roman" w:hAnsi="Times New Roman" w:cs="Times New Roman"/>
      <w:lang w:val="en-GB"/>
    </w:rPr>
  </w:style>
  <w:style w:type="paragraph" w:styleId="Pagrindinistekstas31" w:customStyle="1">
    <w:name w:val="Pagrindinis tekstas 31"/>
    <w:basedOn w:val="Normal"/>
    <w:qFormat/>
    <w:pPr>
      <w:widowControl/>
      <w:suppressAutoHyphens w:val="false"/>
      <w:spacing w:before="0" w:after="120"/>
    </w:pPr>
    <w:rPr>
      <w:rFonts w:ascii="Times New Roman" w:hAnsi="Times New Roman" w:cs="Times New Roman"/>
      <w:sz w:val="16"/>
      <w:szCs w:val="16"/>
    </w:rPr>
  </w:style>
  <w:style w:type="paragraph" w:styleId="Lentelsturinys" w:customStyle="1">
    <w:name w:val="Lentelės turinys"/>
    <w:basedOn w:val="Normal"/>
    <w:qFormat/>
    <w:pPr>
      <w:suppressLineNumbers/>
    </w:pPr>
    <w:rPr/>
  </w:style>
  <w:style w:type="paragraph" w:styleId="Lentelsantrat" w:customStyle="1">
    <w:name w:val="Lentelės antraštė"/>
    <w:basedOn w:val="Lentelsturinys"/>
    <w:qFormat/>
    <w:pPr>
      <w:jc w:val="center"/>
    </w:pPr>
    <w:rPr>
      <w:b/>
      <w:bCs/>
    </w:rPr>
  </w:style>
  <w:style w:type="paragraph" w:styleId="Data1" w:customStyle="1">
    <w:name w:val="Data1"/>
    <w:basedOn w:val="Normal"/>
    <w:qFormat/>
    <w:pPr/>
    <w:rPr/>
  </w:style>
  <w:style w:type="paragraph" w:styleId="BalloonText">
    <w:name w:val="Balloon Text"/>
    <w:basedOn w:val="Normal"/>
    <w:link w:val="DebesliotekstasDiagrama"/>
    <w:uiPriority w:val="99"/>
    <w:semiHidden/>
    <w:unhideWhenUsed/>
    <w:qFormat/>
    <w:rsid w:val="003071bd"/>
    <w:pPr/>
    <w:rPr>
      <w:rFonts w:ascii="Segoe UI" w:hAnsi="Segoe UI" w:cs="Segoe UI"/>
      <w:sz w:val="18"/>
      <w:szCs w:val="18"/>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LibreOffice/6.0.3.2$Windows_X86_64 LibreOffice_project/8f48d515416608e3a835360314dac7e47fd0b821</Application>
  <Pages>3</Pages>
  <Words>750</Words>
  <Characters>5483</Characters>
  <CharactersWithSpaces>6466</CharactersWithSpaces>
  <Paragraphs>52</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2020-03-24T11:14:00Z</dcterms:created>
  <dc:creator>ŠILUTĖS RAJONO SAVIVALDYBĖS TARYBA</dc:creator>
  <dc:description/>
  <dc:language>lt-LT</dc:language>
  <cp:lastModifiedBy/>
  <cp:lastPrinted>2020-02-26T15:11:00Z</cp:lastPrinted>
  <dcterms:modified xsi:type="dcterms:W3CDTF">2020-04-21T11:27:12Z</dcterms:modified>
  <cp:revision>8</cp:revision>
  <dc:subject>T1-412</dc:subject>
  <dc:title>DĖL PRITARIMO DALYVAUTI PROJEKTE "JUKNAIČIŲ SAVARANKIŠKO GYVENIMO NAMŲ DALIES PASTATO SUTVARKYMAS"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