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Times New Roman"/>
          <w:b/>
          <w:b/>
          <w:lang w:eastAsia="lt-LT"/>
        </w:rPr>
      </w:pPr>
      <w:r>
        <w:rPr>
          <w:rFonts w:cs="Times New Roman"/>
          <w:b/>
          <w:sz w:val="22"/>
          <w:szCs w:val="22"/>
          <w:lang w:eastAsia="lt-LT"/>
        </w:rPr>
        <w:t>Projektas</w:t>
      </w:r>
    </w:p>
    <w:p>
      <w:pPr>
        <w:pStyle w:val="Normal"/>
        <w:jc w:val="center"/>
        <w:rPr>
          <w:rFonts w:cs="Times New Roman"/>
          <w:b/>
          <w:b/>
          <w:sz w:val="22"/>
          <w:szCs w:val="22"/>
        </w:rPr>
      </w:pPr>
      <w:r>
        <w:rPr>
          <w:rFonts w:cs="Times New Roman"/>
          <w:b/>
          <w:sz w:val="22"/>
          <w:szCs w:val="22"/>
        </w:rPr>
      </w:r>
    </w:p>
    <w:p>
      <w:pPr>
        <w:pStyle w:val="Normal"/>
        <w:jc w:val="center"/>
        <w:rPr/>
      </w:pPr>
      <w:r>
        <w:rPr>
          <w:b/>
          <w:caps/>
          <w:sz w:val="22"/>
          <w:szCs w:val="22"/>
        </w:rPr>
        <w:t xml:space="preserve">ŠILUTĖS RAJONO SAVIVALDYBĖS </w:t>
      </w:r>
    </w:p>
    <w:p>
      <w:pPr>
        <w:pStyle w:val="Normal"/>
        <w:jc w:val="center"/>
        <w:rPr>
          <w:b/>
          <w:b/>
          <w:caps/>
          <w:sz w:val="22"/>
          <w:szCs w:val="22"/>
        </w:rPr>
      </w:pPr>
      <w:r>
        <w:rPr>
          <w:b/>
          <w:caps/>
          <w:sz w:val="22"/>
          <w:szCs w:val="22"/>
        </w:rPr>
        <w:t>TARYBA</w:t>
      </w:r>
    </w:p>
    <w:p>
      <w:pPr>
        <w:pStyle w:val="Normal"/>
        <w:jc w:val="center"/>
        <w:rPr>
          <w:b/>
          <w:b/>
          <w:caps/>
          <w:sz w:val="22"/>
          <w:szCs w:val="22"/>
        </w:rPr>
      </w:pPr>
      <w:r>
        <w:rPr>
          <w:b/>
          <w:caps/>
          <w:sz w:val="22"/>
          <w:szCs w:val="22"/>
        </w:rPr>
      </w:r>
    </w:p>
    <w:p>
      <w:pPr>
        <w:pStyle w:val="Normal"/>
        <w:jc w:val="center"/>
        <w:rPr>
          <w:b/>
          <w:b/>
          <w:caps/>
          <w:sz w:val="22"/>
          <w:szCs w:val="22"/>
        </w:rPr>
      </w:pPr>
      <w:r>
        <w:rPr>
          <w:b/>
          <w:caps/>
          <w:sz w:val="22"/>
          <w:szCs w:val="22"/>
        </w:rPr>
        <w:t>sprendimas</w:t>
      </w:r>
    </w:p>
    <w:p>
      <w:pPr>
        <w:pStyle w:val="Normal"/>
        <w:tabs>
          <w:tab w:val="left" w:pos="0" w:leader="none"/>
        </w:tabs>
        <w:overflowPunct w:val="true"/>
        <w:spacing w:lineRule="auto" w:line="276" w:before="0" w:after="20"/>
        <w:ind w:hanging="0"/>
        <w:jc w:val="center"/>
        <w:rPr/>
      </w:pPr>
      <w:r>
        <w:rPr>
          <w:rFonts w:eastAsia="Calibri"/>
          <w:b/>
          <w:sz w:val="22"/>
          <w:szCs w:val="22"/>
        </w:rPr>
        <w:t>DĖL ŠILUTĖS RAJONO SAVIVALDYBĖS TARYBOS 2015-02-19 SPRENDIMO NR. T1-2425 „</w:t>
      </w:r>
      <w:bookmarkStart w:id="0" w:name="__DdeLink__4272_2220655869"/>
      <w:bookmarkEnd w:id="0"/>
      <w:r>
        <w:rPr>
          <w:rFonts w:eastAsia="Calibri"/>
          <w:b/>
          <w:sz w:val="22"/>
          <w:szCs w:val="22"/>
        </w:rPr>
        <w:t>DĖL NEPANAUDOTŲ LĖŠŲ, SKIRTŲ PINIGINEI SOCIALINEI PARAMAI, NAUDOJIMO ŠILUTĖS RAJONO SAVIVALDYBĖJE KITOMS SAVARANKIŠKOMS FUNKCIJOMS FINANSUOTI TVARKOS APRAŠO PATVIRTINIMO“ PAKEITIMO</w:t>
      </w:r>
    </w:p>
    <w:p>
      <w:pPr>
        <w:pStyle w:val="Normal"/>
        <w:tabs>
          <w:tab w:val="left" w:pos="0" w:leader="none"/>
        </w:tabs>
        <w:overflowPunct w:val="true"/>
        <w:spacing w:lineRule="auto" w:line="276" w:before="0" w:after="20"/>
        <w:ind w:firstLine="1134"/>
        <w:jc w:val="center"/>
        <w:rPr>
          <w:rFonts w:eastAsia="Calibri"/>
          <w:b/>
          <w:b/>
          <w:sz w:val="22"/>
          <w:szCs w:val="22"/>
        </w:rPr>
      </w:pPr>
      <w:r>
        <w:rPr>
          <w:rFonts w:eastAsia="Calibri"/>
          <w:b/>
          <w:sz w:val="22"/>
          <w:szCs w:val="22"/>
        </w:rPr>
      </w:r>
    </w:p>
    <w:p>
      <w:pPr>
        <w:pStyle w:val="Normal"/>
        <w:jc w:val="center"/>
        <w:rPr/>
      </w:pPr>
      <w:r>
        <w:rPr>
          <w:rFonts w:cs="Times New Roman"/>
          <w:bCs/>
          <w:sz w:val="22"/>
          <w:szCs w:val="22"/>
        </w:rPr>
        <w:t xml:space="preserve">2018 m. kovo   d. Nr. </w:t>
      </w:r>
    </w:p>
    <w:p>
      <w:pPr>
        <w:pStyle w:val="Normal"/>
        <w:jc w:val="center"/>
        <w:rPr>
          <w:rFonts w:cs="Times New Roman"/>
          <w:bCs/>
        </w:rPr>
      </w:pPr>
      <w:r>
        <w:rPr>
          <w:rFonts w:cs="Times New Roman"/>
          <w:bCs/>
          <w:sz w:val="22"/>
          <w:szCs w:val="22"/>
        </w:rPr>
        <w:t>Šilutė</w:t>
      </w:r>
    </w:p>
    <w:p>
      <w:pPr>
        <w:pStyle w:val="Normal"/>
        <w:jc w:val="center"/>
        <w:rPr>
          <w:rFonts w:cs="Times New Roman"/>
          <w:bCs/>
        </w:rPr>
      </w:pPr>
      <w:r>
        <w:rPr>
          <w:rFonts w:cs="Times New Roman"/>
          <w:bCs/>
        </w:rPr>
      </w:r>
    </w:p>
    <w:p>
      <w:pPr>
        <w:pStyle w:val="Normal"/>
        <w:widowControl/>
        <w:tabs>
          <w:tab w:val="left" w:pos="0" w:leader="none"/>
        </w:tabs>
        <w:bidi w:val="0"/>
        <w:ind w:left="0" w:right="0" w:firstLine="850"/>
        <w:jc w:val="both"/>
        <w:rPr/>
      </w:pPr>
      <w:r>
        <w:rPr>
          <w:rFonts w:eastAsia="Calibri"/>
          <w:sz w:val="22"/>
          <w:szCs w:val="22"/>
        </w:rPr>
        <w:t xml:space="preserve">Vadovaudamasi Lietuvos Respublikos vietos savivaldos įstatymo 16 straipsnio 2 dalies 38 punktu ir 4 dalimi, 18 straipsnio 1 dalimi, Lietuvos Respublikos piniginės socialinės paramos nepasiturintiems gyventojams įstatymo </w:t>
      </w:r>
      <w:r>
        <w:rPr>
          <w:rFonts w:eastAsia="Calibri"/>
          <w:color w:val="000000"/>
          <w:sz w:val="22"/>
          <w:szCs w:val="22"/>
        </w:rPr>
        <w:t xml:space="preserve">4 straipsnio 5 dalimi, </w:t>
      </w:r>
      <w:r>
        <w:rPr>
          <w:rFonts w:eastAsia="Calibri"/>
          <w:sz w:val="22"/>
          <w:szCs w:val="22"/>
        </w:rPr>
        <w:t>Šilutės  rajono  savivaldybės  taryba                  n u s p r e n d ž i a:</w:t>
      </w:r>
    </w:p>
    <w:p>
      <w:pPr>
        <w:pStyle w:val="Normal"/>
        <w:widowControl/>
        <w:tabs>
          <w:tab w:val="left" w:pos="0" w:leader="none"/>
        </w:tabs>
        <w:bidi w:val="0"/>
        <w:ind w:left="0" w:right="0" w:firstLine="850"/>
        <w:jc w:val="both"/>
        <w:rPr/>
      </w:pPr>
      <w:r>
        <w:rPr>
          <w:sz w:val="22"/>
          <w:szCs w:val="22"/>
        </w:rPr>
        <w:t xml:space="preserve">1. Pakeisti Savivaldybės tarybos 2015 m. vasario 19 d. sprendimu </w:t>
      </w:r>
      <w:bookmarkStart w:id="1" w:name="n_1"/>
      <w:r>
        <w:rPr>
          <w:sz w:val="22"/>
          <w:szCs w:val="22"/>
        </w:rPr>
        <w:t xml:space="preserve">Nr. T1- </w:t>
      </w:r>
      <w:bookmarkEnd w:id="1"/>
      <w:r>
        <w:rPr>
          <w:sz w:val="22"/>
          <w:szCs w:val="22"/>
        </w:rPr>
        <w:t xml:space="preserve">2425 ,,Dėl </w:t>
      </w:r>
      <w:r>
        <w:rPr>
          <w:sz w:val="22"/>
          <w:szCs w:val="22"/>
        </w:rPr>
        <w:t>N</w:t>
      </w:r>
      <w:r>
        <w:rPr>
          <w:sz w:val="22"/>
          <w:szCs w:val="22"/>
        </w:rPr>
        <w:t xml:space="preserve">epanaudotų lėšų, skirtų piniginei socialinės paramai, naudojimo Šilutės rajono savivaldybėje kitoms savarankiškoms funkcijoms finansuoti tvarkos aprašo patvirtinimo“ </w:t>
      </w:r>
      <w:r>
        <w:rPr>
          <w:color w:val="000000"/>
          <w:sz w:val="22"/>
          <w:szCs w:val="22"/>
        </w:rPr>
        <w:t>patvirtinto Nepanaudotų lėšų, skirtų piniginei socialinės paramai, naudojimo Šilutės rajono savivaldybėje kitoms savarankiškoms funkcijoms finansuoti tvarkos aprašo 7 punktą ir jį išdėstyti taip:</w:t>
      </w:r>
    </w:p>
    <w:p>
      <w:pPr>
        <w:pStyle w:val="Normal"/>
        <w:widowControl/>
        <w:tabs>
          <w:tab w:val="left" w:pos="0" w:leader="none"/>
        </w:tabs>
        <w:bidi w:val="0"/>
        <w:ind w:left="0" w:right="0" w:firstLine="850"/>
        <w:jc w:val="both"/>
        <w:rPr/>
      </w:pPr>
      <w:r>
        <w:rPr>
          <w:rFonts w:cs="Times New Roman"/>
          <w:sz w:val="22"/>
          <w:szCs w:val="22"/>
          <w:lang w:eastAsia="lt-LT"/>
        </w:rPr>
        <w:t>,,7. Nepanaudotos lėšos, skirtos piniginei socialinei paramai, gali būti naudojamos:</w:t>
      </w:r>
    </w:p>
    <w:p>
      <w:pPr>
        <w:pStyle w:val="Normal"/>
        <w:widowControl/>
        <w:bidi w:val="0"/>
        <w:ind w:left="0" w:right="0" w:firstLine="850"/>
        <w:jc w:val="both"/>
        <w:rPr/>
      </w:pPr>
      <w:r>
        <w:rPr>
          <w:sz w:val="22"/>
          <w:szCs w:val="22"/>
        </w:rPr>
        <w:t xml:space="preserve">7.1. socialinę riziką patiriančių asmenų (šeimų) socialinės reabilitacijos ir integracijos priemonėms įgyvendinti; </w:t>
      </w:r>
    </w:p>
    <w:p>
      <w:pPr>
        <w:pStyle w:val="Normal"/>
        <w:widowControl/>
        <w:bidi w:val="0"/>
        <w:ind w:left="0" w:right="0" w:firstLine="850"/>
        <w:jc w:val="both"/>
        <w:rPr/>
      </w:pPr>
      <w:r>
        <w:rPr>
          <w:sz w:val="22"/>
          <w:szCs w:val="22"/>
        </w:rPr>
        <w:t xml:space="preserve">7.2. šeimoje ir bendruomenėje teikiamai pagalbai vaikams, neįgaliesiems, senyvo amžiaus asmenims ir jų šeimoms plėtoti; </w:t>
      </w:r>
    </w:p>
    <w:p>
      <w:pPr>
        <w:pStyle w:val="Normal"/>
        <w:widowControl/>
        <w:bidi w:val="0"/>
        <w:ind w:left="0" w:right="0" w:firstLine="850"/>
        <w:jc w:val="both"/>
        <w:rPr/>
      </w:pPr>
      <w:r>
        <w:rPr>
          <w:sz w:val="22"/>
          <w:szCs w:val="22"/>
        </w:rPr>
        <w:t xml:space="preserve">7.3. finansinei paramai, skirtai skurdui bei socialinei atskirčiai mažinti; </w:t>
      </w:r>
    </w:p>
    <w:p>
      <w:pPr>
        <w:pStyle w:val="Normal"/>
        <w:widowControl/>
        <w:bidi w:val="0"/>
        <w:ind w:left="0" w:right="0" w:firstLine="850"/>
        <w:jc w:val="both"/>
        <w:rPr/>
      </w:pPr>
      <w:r>
        <w:rPr>
          <w:sz w:val="22"/>
          <w:szCs w:val="22"/>
        </w:rPr>
        <w:t xml:space="preserve">7.4.  smurto, savižudybių, priklausomybių, prekybos žmonėmis prevencijai; </w:t>
      </w:r>
    </w:p>
    <w:p>
      <w:pPr>
        <w:pStyle w:val="Normal"/>
        <w:widowControl/>
        <w:tabs>
          <w:tab w:val="left" w:pos="736" w:leader="none"/>
        </w:tabs>
        <w:bidi w:val="0"/>
        <w:ind w:left="0" w:right="0" w:firstLine="850"/>
        <w:jc w:val="both"/>
        <w:rPr/>
      </w:pPr>
      <w:r>
        <w:rPr>
          <w:sz w:val="22"/>
          <w:szCs w:val="22"/>
        </w:rPr>
        <w:t xml:space="preserve">7.5. neįgaliųjų socialinei integracijai; </w:t>
      </w:r>
    </w:p>
    <w:p>
      <w:pPr>
        <w:pStyle w:val="Normal"/>
        <w:widowControl/>
        <w:bidi w:val="0"/>
        <w:ind w:left="0" w:right="0" w:firstLine="850"/>
        <w:jc w:val="both"/>
        <w:rPr/>
      </w:pPr>
      <w:r>
        <w:rPr>
          <w:sz w:val="22"/>
          <w:szCs w:val="22"/>
        </w:rPr>
        <w:t xml:space="preserve">7.6. bendruomenių ir nevyriausybinių organizacijų plėtrai, jų vykdomoms socialinėms programoms įgyvendinti; </w:t>
      </w:r>
    </w:p>
    <w:p>
      <w:pPr>
        <w:pStyle w:val="Normal"/>
        <w:widowControl/>
        <w:bidi w:val="0"/>
        <w:ind w:left="0" w:right="0" w:firstLine="850"/>
        <w:jc w:val="both"/>
        <w:rPr/>
      </w:pPr>
      <w:r>
        <w:rPr>
          <w:sz w:val="22"/>
          <w:szCs w:val="22"/>
        </w:rPr>
        <w:t xml:space="preserve">7.7. užimtumo didinimo programoms įgyvendinti; </w:t>
      </w:r>
    </w:p>
    <w:p>
      <w:pPr>
        <w:pStyle w:val="Normal"/>
        <w:widowControl/>
        <w:bidi w:val="0"/>
        <w:ind w:left="0" w:right="0" w:firstLine="850"/>
        <w:jc w:val="both"/>
        <w:rPr/>
      </w:pPr>
      <w:r>
        <w:rPr>
          <w:sz w:val="22"/>
          <w:szCs w:val="22"/>
        </w:rPr>
        <w:t xml:space="preserve">7.8. Savivaldybės ir socialinio būsto fondo plėtrai, rekonstravimui ir remontui; </w:t>
      </w:r>
    </w:p>
    <w:p>
      <w:pPr>
        <w:pStyle w:val="Normal"/>
        <w:widowControl/>
        <w:bidi w:val="0"/>
        <w:ind w:left="0" w:right="0" w:firstLine="850"/>
        <w:jc w:val="both"/>
        <w:rPr/>
      </w:pPr>
      <w:r>
        <w:rPr>
          <w:sz w:val="22"/>
          <w:szCs w:val="22"/>
        </w:rPr>
        <w:t>7.9. socialinių paslaugų priemonėms finansuoti, jų infrastruktūrai modernizuoti ir plėtoti;</w:t>
      </w:r>
    </w:p>
    <w:p>
      <w:pPr>
        <w:pStyle w:val="Normal"/>
        <w:widowControl/>
        <w:bidi w:val="0"/>
        <w:ind w:left="0" w:right="0" w:firstLine="850"/>
        <w:jc w:val="both"/>
        <w:rPr/>
      </w:pPr>
      <w:r>
        <w:rPr>
          <w:sz w:val="22"/>
          <w:szCs w:val="22"/>
        </w:rPr>
        <w:t>7.10.  socialinių paslaugų srities darbuotojų darbo sąlygoms gerinti ir darbo užmokesčiui didinti;</w:t>
      </w:r>
    </w:p>
    <w:p>
      <w:pPr>
        <w:pStyle w:val="Normal"/>
        <w:widowControl/>
        <w:tabs>
          <w:tab w:val="left" w:pos="0" w:leader="none"/>
        </w:tabs>
        <w:bidi w:val="0"/>
        <w:ind w:left="0" w:right="0" w:firstLine="850"/>
        <w:jc w:val="both"/>
        <w:rPr/>
      </w:pPr>
      <w:r>
        <w:rPr>
          <w:rFonts w:cs="Times New Roman"/>
          <w:bCs/>
          <w:sz w:val="22"/>
          <w:szCs w:val="22"/>
          <w:lang w:eastAsia="lt-LT"/>
        </w:rPr>
        <w:t>7.11.  Savivaldybės administracijoje dirbančių socialinių išmokų specialistų darbo užmokesčiui didinti.“</w:t>
      </w:r>
    </w:p>
    <w:p>
      <w:pPr>
        <w:pStyle w:val="Normal"/>
        <w:widowControl/>
        <w:tabs>
          <w:tab w:val="left" w:pos="855" w:leader="none"/>
        </w:tabs>
        <w:bidi w:val="0"/>
        <w:ind w:left="0" w:right="0" w:firstLine="850"/>
        <w:jc w:val="both"/>
        <w:rPr/>
      </w:pPr>
      <w:r>
        <w:rPr>
          <w:rFonts w:cs="Times New Roman"/>
          <w:bCs/>
          <w:sz w:val="22"/>
          <w:szCs w:val="22"/>
          <w:lang w:eastAsia="lt-LT"/>
        </w:rPr>
        <w:tab/>
        <w:t xml:space="preserve">2. Pripažinti netekusiu galios Savivaldybės tarybos 2015 m. vasario 19 d. sprendimu </w:t>
      </w:r>
      <w:bookmarkStart w:id="2" w:name="n_11"/>
      <w:r>
        <w:rPr>
          <w:rFonts w:cs="Times New Roman"/>
          <w:bCs/>
          <w:sz w:val="22"/>
          <w:szCs w:val="22"/>
          <w:lang w:eastAsia="lt-LT"/>
        </w:rPr>
        <w:t xml:space="preserve">Nr. T1- </w:t>
      </w:r>
      <w:bookmarkEnd w:id="2"/>
      <w:r>
        <w:rPr>
          <w:rFonts w:cs="Times New Roman"/>
          <w:bCs/>
          <w:sz w:val="22"/>
          <w:szCs w:val="22"/>
          <w:lang w:eastAsia="lt-LT"/>
        </w:rPr>
        <w:t xml:space="preserve">2425 ,,Dėl </w:t>
      </w:r>
      <w:r>
        <w:rPr>
          <w:rFonts w:cs="Times New Roman"/>
          <w:bCs/>
          <w:sz w:val="22"/>
          <w:szCs w:val="22"/>
          <w:lang w:eastAsia="lt-LT"/>
        </w:rPr>
        <w:t>N</w:t>
      </w:r>
      <w:r>
        <w:rPr>
          <w:rFonts w:cs="Times New Roman"/>
          <w:bCs/>
          <w:sz w:val="22"/>
          <w:szCs w:val="22"/>
          <w:lang w:eastAsia="lt-LT"/>
        </w:rPr>
        <w:t xml:space="preserve">epanaudotų lėšų, skirtų piniginei socialinės paramai, naudojimo Šilutės rajono savivaldybėje kitoms savarankiškoms funkcijoms finansuoti tvarkos aprašo patvirtinimo“ patvirtinto </w:t>
      </w:r>
      <w:r>
        <w:rPr>
          <w:rFonts w:cs="Times New Roman"/>
          <w:bCs/>
          <w:color w:val="000000"/>
          <w:sz w:val="22"/>
          <w:szCs w:val="22"/>
          <w:lang w:eastAsia="lt-LT"/>
        </w:rPr>
        <w:t xml:space="preserve">Nepanaudotų lėšų, skirtų piniginei socialinės paramai, naudojimo Šilutės rajono savivaldybėje kitoms savarankiškoms funkcijoms finansuoti tvarkos aprašo 8 punktą. </w:t>
      </w:r>
    </w:p>
    <w:p>
      <w:pPr>
        <w:pStyle w:val="Normal"/>
        <w:widowControl/>
        <w:tabs>
          <w:tab w:val="left" w:pos="0" w:leader="none"/>
          <w:tab w:val="left" w:pos="709" w:leader="none"/>
        </w:tabs>
        <w:bidi w:val="0"/>
        <w:ind w:left="0" w:right="0" w:firstLine="850"/>
        <w:jc w:val="both"/>
        <w:rPr/>
      </w:pPr>
      <w:r>
        <w:rPr>
          <w:rFonts w:cs="Times New Roman"/>
          <w:color w:val="000000"/>
          <w:sz w:val="22"/>
          <w:szCs w:val="22"/>
          <w:lang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Normal"/>
        <w:tabs>
          <w:tab w:val="right" w:pos="9638" w:leader="none"/>
        </w:tabs>
        <w:rPr>
          <w:rFonts w:cs="Times New Roman"/>
          <w:bCs/>
          <w:iCs/>
          <w:sz w:val="22"/>
          <w:szCs w:val="22"/>
        </w:rPr>
      </w:pPr>
      <w:r>
        <w:rPr>
          <w:rFonts w:cs="Times New Roman"/>
          <w:bCs/>
          <w:iCs/>
          <w:sz w:val="22"/>
          <w:szCs w:val="22"/>
        </w:rPr>
        <w:tab/>
      </w:r>
    </w:p>
    <w:p>
      <w:pPr>
        <w:pStyle w:val="Normal"/>
        <w:tabs>
          <w:tab w:val="right" w:pos="9638" w:leader="none"/>
        </w:tabs>
        <w:jc w:val="center"/>
        <w:rPr/>
      </w:pPr>
      <w:r>
        <w:rPr>
          <w:rFonts w:cs="Times New Roman"/>
          <w:bCs/>
          <w:iCs/>
          <w:sz w:val="22"/>
          <w:szCs w:val="22"/>
        </w:rPr>
        <w:t>Savivaldybės meras</w:t>
        <w:tab/>
      </w:r>
    </w:p>
    <w:p>
      <w:pPr>
        <w:pStyle w:val="Normal"/>
        <w:jc w:val="both"/>
        <w:rPr/>
      </w:pPr>
      <w:r>
        <w:rPr>
          <w:sz w:val="20"/>
          <w:szCs w:val="20"/>
        </w:rPr>
        <w:t xml:space="preserve">                                               </w:t>
      </w:r>
      <w:r>
        <w:rPr>
          <w:sz w:val="20"/>
          <w:szCs w:val="20"/>
        </w:rPr>
        <w:t>Sigitas Šeputis</w:t>
      </w:r>
      <w:r>
        <w:rPr>
          <w:sz w:val="20"/>
          <w:szCs w:val="20"/>
        </w:rPr>
        <w:t xml:space="preserve">            Alvidas Šimelionis          Vita Stulgienė       Arvydas Bielskis   </w:t>
      </w:r>
    </w:p>
    <w:p>
      <w:pPr>
        <w:pStyle w:val="Normal"/>
        <w:jc w:val="both"/>
        <w:rPr/>
      </w:pPr>
      <w:r>
        <w:rPr>
          <w:sz w:val="20"/>
          <w:szCs w:val="20"/>
        </w:rPr>
        <w:t xml:space="preserve">                                                </w:t>
      </w:r>
      <w:r>
        <w:rPr>
          <w:sz w:val="20"/>
          <w:szCs w:val="20"/>
        </w:rPr>
        <w:t>2018-03</w:t>
      </w:r>
      <w:r>
        <w:rPr>
          <w:sz w:val="20"/>
          <w:szCs w:val="20"/>
        </w:rPr>
        <w:t xml:space="preserve">                       2018-03-09                     </w:t>
      </w:r>
      <w:r>
        <w:rPr>
          <w:rFonts w:cs="Times New Roman"/>
          <w:sz w:val="20"/>
          <w:szCs w:val="20"/>
        </w:rPr>
        <w:t>2018-03-08</w:t>
      </w:r>
      <w:bookmarkStart w:id="3" w:name="_GoBack"/>
      <w:bookmarkEnd w:id="3"/>
      <w:r>
        <w:rPr>
          <w:sz w:val="20"/>
          <w:szCs w:val="20"/>
        </w:rPr>
        <w:t xml:space="preserve">          2018-03-12</w:t>
      </w:r>
    </w:p>
    <w:p>
      <w:pPr>
        <w:pStyle w:val="Normal"/>
        <w:rPr/>
      </w:pPr>
      <w:r>
        <w:rPr>
          <w:rFonts w:cs="Times New Roman"/>
          <w:sz w:val="20"/>
          <w:szCs w:val="20"/>
        </w:rPr>
        <w:t xml:space="preserve">Parengė </w:t>
      </w:r>
    </w:p>
    <w:p>
      <w:pPr>
        <w:pStyle w:val="Normal"/>
        <w:rPr>
          <w:rFonts w:cs="Times New Roman"/>
          <w:sz w:val="20"/>
          <w:szCs w:val="20"/>
        </w:rPr>
      </w:pPr>
      <w:r>
        <w:rPr/>
      </w:r>
    </w:p>
    <w:p>
      <w:pPr>
        <w:pStyle w:val="Normal"/>
        <w:tabs>
          <w:tab w:val="left" w:pos="0" w:leader="none"/>
        </w:tabs>
        <w:jc w:val="both"/>
        <w:rPr>
          <w:color w:val="000000"/>
          <w:sz w:val="22"/>
          <w:szCs w:val="22"/>
        </w:rPr>
      </w:pPr>
      <w:r>
        <w:rPr>
          <w:color w:val="000000"/>
          <w:sz w:val="20"/>
          <w:szCs w:val="20"/>
        </w:rPr>
        <w:t>Asta Lileikienė</w:t>
      </w:r>
    </w:p>
    <w:p>
      <w:pPr>
        <w:pStyle w:val="Normal"/>
        <w:tabs>
          <w:tab w:val="left" w:pos="0" w:leader="none"/>
        </w:tabs>
        <w:jc w:val="both"/>
        <w:rPr/>
      </w:pPr>
      <w:r>
        <w:rPr>
          <w:color w:val="000000"/>
          <w:sz w:val="20"/>
          <w:szCs w:val="20"/>
        </w:rPr>
        <w:t xml:space="preserve">2018-03-08                                             </w:t>
      </w:r>
      <w:r>
        <w:rPr>
          <w:color w:val="000000"/>
          <w:sz w:val="18"/>
          <w:szCs w:val="18"/>
        </w:rPr>
        <w:t>P:\Tarybos_projektai_2011-2018\2018_metai\2018-03\SOC05sVKJR.docx</w:t>
      </w:r>
    </w:p>
    <w:p>
      <w:pPr>
        <w:pStyle w:val="Normal"/>
        <w:tabs>
          <w:tab w:val="left" w:pos="0" w:leader="none"/>
        </w:tabs>
        <w:rPr>
          <w:color w:val="000000"/>
        </w:rPr>
      </w:pPr>
      <w:r>
        <w:rPr>
          <w:color w:val="000000"/>
        </w:rPr>
      </w:r>
    </w:p>
    <w:p>
      <w:pPr>
        <w:pStyle w:val="Caption"/>
        <w:spacing w:before="0" w:after="0"/>
        <w:ind w:firstLine="1134"/>
        <w:jc w:val="center"/>
        <w:rPr>
          <w:b/>
          <w:b/>
          <w:bCs/>
          <w:i w:val="false"/>
          <w:i w:val="false"/>
          <w:iCs w:val="false"/>
        </w:rPr>
      </w:pPr>
      <w:r>
        <w:rPr>
          <w:b/>
          <w:bCs/>
          <w:i w:val="false"/>
          <w:iCs w:val="false"/>
          <w:caps/>
        </w:rPr>
        <w:t>ŠILUTĖS RAJONO SAVIVALDYBĖS ADMINISTRACIJOS</w:t>
      </w:r>
    </w:p>
    <w:p>
      <w:pPr>
        <w:pStyle w:val="Caption"/>
        <w:spacing w:before="69" w:after="0"/>
        <w:ind w:firstLine="1134"/>
        <w:jc w:val="center"/>
        <w:rPr>
          <w:b/>
          <w:b/>
          <w:bCs/>
          <w:i w:val="false"/>
          <w:i w:val="false"/>
          <w:iCs w:val="false"/>
        </w:rPr>
      </w:pPr>
      <w:r>
        <w:rPr>
          <w:b/>
          <w:bCs/>
          <w:i w:val="false"/>
          <w:iCs w:val="false"/>
          <w:caps/>
        </w:rPr>
        <w:t>socialinės paramos skyrius</w:t>
      </w:r>
    </w:p>
    <w:p>
      <w:pPr>
        <w:pStyle w:val="Normal"/>
        <w:ind w:firstLine="1134"/>
        <w:jc w:val="center"/>
        <w:rPr>
          <w:caps/>
        </w:rPr>
      </w:pPr>
      <w:r>
        <w:rPr>
          <w:caps/>
        </w:rPr>
      </w:r>
    </w:p>
    <w:p>
      <w:pPr>
        <w:pStyle w:val="Dokumentopaantrat"/>
        <w:numPr>
          <w:ilvl w:val="0"/>
          <w:numId w:val="0"/>
        </w:numPr>
        <w:ind w:firstLine="1134"/>
        <w:outlineLvl w:val="0"/>
        <w:rPr/>
      </w:pPr>
      <w:r>
        <w:rPr/>
        <w:t>AIŠKINAMASIS RAŠTAS</w:t>
      </w:r>
    </w:p>
    <w:p>
      <w:pPr>
        <w:pStyle w:val="Normal"/>
        <w:ind w:firstLine="1134"/>
        <w:jc w:val="center"/>
        <w:rPr>
          <w:b/>
          <w:b/>
          <w:bCs/>
          <w:caps/>
        </w:rPr>
      </w:pPr>
      <w:r>
        <w:rPr/>
        <w:t>,,</w:t>
      </w:r>
      <w:r>
        <w:rPr>
          <w:b/>
        </w:rPr>
        <w:t xml:space="preserve"> </w:t>
      </w:r>
      <w:r>
        <w:rPr>
          <w:rFonts w:eastAsia="Calibri"/>
          <w:b/>
        </w:rPr>
        <w:t>DĖL NEPANAUDOTŲ LĖŠŲ, SKIRTŲ PINIGINEI SOCIALINEI PARAMAI, NAUDOJIMO ŠILUTĖS RAJONO SAVIVALDYBĖJE KITOMS SAVARANKIŠKOMS FUNKCIJOMS FINANSUOTI TVARKOS APRAŠO PATVIRTINIMO“ PAKEITIMO</w:t>
      </w:r>
      <w:r>
        <w:rPr/>
        <w:t xml:space="preserve"> </w:t>
      </w:r>
      <w:r>
        <w:rPr>
          <w:b/>
          <w:bCs/>
          <w:caps/>
        </w:rPr>
        <w:t>projekto</w:t>
      </w:r>
    </w:p>
    <w:p>
      <w:pPr>
        <w:pStyle w:val="Normal"/>
        <w:ind w:firstLine="1134"/>
        <w:jc w:val="center"/>
        <w:rPr/>
      </w:pPr>
      <w:r>
        <w:rPr/>
      </w:r>
    </w:p>
    <w:p>
      <w:pPr>
        <w:pStyle w:val="Normal"/>
        <w:ind w:hanging="0"/>
        <w:jc w:val="center"/>
        <w:rPr/>
      </w:pPr>
      <w:r>
        <w:rPr/>
        <w:t>2018 m. kovo 8 d.</w:t>
      </w:r>
    </w:p>
    <w:p>
      <w:pPr>
        <w:pStyle w:val="Normal"/>
        <w:tabs>
          <w:tab w:val="left" w:pos="567" w:leader="none"/>
        </w:tabs>
        <w:ind w:hanging="0"/>
        <w:jc w:val="center"/>
        <w:rPr/>
      </w:pPr>
      <w:r>
        <w:rPr/>
        <w:t>Šilutė</w:t>
      </w:r>
    </w:p>
    <w:tbl>
      <w:tblPr>
        <w:tblW w:w="9854" w:type="dxa"/>
        <w:jc w:val="left"/>
        <w:tblInd w:w="0" w:type="dxa"/>
        <w:tblBorders/>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shd w:color="auto" w:fill="auto" w:val="clear"/>
          </w:tcPr>
          <w:p>
            <w:pPr>
              <w:pStyle w:val="Normal"/>
              <w:snapToGrid w:val="false"/>
              <w:ind w:firstLine="1134"/>
              <w:rPr>
                <w:b/>
                <w:b/>
                <w:bCs/>
                <w:i/>
                <w:i/>
                <w:iCs/>
                <w:color w:val="000000"/>
              </w:rPr>
            </w:pPr>
            <w:r>
              <w:rPr>
                <w:b/>
                <w:bCs/>
                <w:i/>
                <w:iCs/>
                <w:color w:val="000000"/>
              </w:rPr>
            </w:r>
          </w:p>
          <w:p>
            <w:pPr>
              <w:pStyle w:val="Normal"/>
              <w:ind w:firstLine="1134"/>
              <w:rPr>
                <w:b/>
                <w:b/>
                <w:bCs/>
                <w:i/>
                <w:i/>
                <w:iCs/>
              </w:rPr>
            </w:pPr>
            <w:r>
              <w:rPr>
                <w:b/>
                <w:bCs/>
                <w:i/>
                <w:iCs/>
                <w:color w:val="000000"/>
              </w:rPr>
              <w:t>1. Parengto projekto tikslai ir uždaviniai.</w:t>
            </w:r>
          </w:p>
        </w:tc>
      </w:tr>
      <w:tr>
        <w:trPr/>
        <w:tc>
          <w:tcPr>
            <w:tcW w:w="9854" w:type="dxa"/>
            <w:tcBorders/>
            <w:shd w:color="auto" w:fill="auto" w:val="clear"/>
          </w:tcPr>
          <w:p>
            <w:pPr>
              <w:pStyle w:val="Normal"/>
              <w:ind w:firstLine="1134"/>
              <w:jc w:val="both"/>
              <w:rPr/>
            </w:pPr>
            <w:r>
              <w:rPr>
                <w:color w:val="000000"/>
              </w:rPr>
              <w:t xml:space="preserve">Įgyvendinti papildytas Lietuvos Respublikos piniginės socialinės paramos nepasiturintiems gyventojams įstatymo nuostatas (toliau - Piniginės socialinės paramos nepasiturintiems gyventojams įstatymas). </w:t>
            </w:r>
          </w:p>
          <w:p>
            <w:pPr>
              <w:pStyle w:val="Normal"/>
              <w:ind w:firstLine="1134"/>
              <w:jc w:val="both"/>
              <w:rPr/>
            </w:pPr>
            <w:r>
              <w:rPr>
                <w:color w:val="000000"/>
              </w:rPr>
              <w:t>Tvarkos projekto pagrindinis tikslas – užtikrinti, kad piniginei socialinei paramai skaičiuoti ir mokėti nepanaudotos savivaldybių biudžetų lėšos būtų naudojamos tik socialinės apsaugos sritims finansuoti.</w:t>
            </w:r>
          </w:p>
          <w:p>
            <w:pPr>
              <w:pStyle w:val="Normal"/>
              <w:ind w:firstLine="1134"/>
              <w:jc w:val="both"/>
              <w:rPr>
                <w:color w:val="000000"/>
              </w:rPr>
            </w:pPr>
            <w:r>
              <w:rPr>
                <w:color w:val="000000"/>
              </w:rPr>
            </w:r>
          </w:p>
        </w:tc>
      </w:tr>
      <w:tr>
        <w:trPr/>
        <w:tc>
          <w:tcPr>
            <w:tcW w:w="9854" w:type="dxa"/>
            <w:tcBorders/>
            <w:shd w:color="auto" w:fill="auto" w:val="clear"/>
          </w:tcPr>
          <w:p>
            <w:pPr>
              <w:pStyle w:val="Normal"/>
              <w:snapToGrid w:val="false"/>
              <w:rPr>
                <w:rFonts w:eastAsia="Calibri"/>
                <w:b/>
                <w:b/>
                <w:bCs/>
                <w:color w:val="000000"/>
                <w:lang w:eastAsia="lt-LT"/>
              </w:rPr>
            </w:pPr>
            <w:r>
              <w:rPr>
                <w:rFonts w:eastAsia="Calibri"/>
                <w:b/>
                <w:bCs/>
                <w:color w:val="000000"/>
                <w:lang w:eastAsia="lt-LT"/>
              </w:rPr>
            </w:r>
          </w:p>
          <w:p>
            <w:pPr>
              <w:pStyle w:val="Normal"/>
              <w:ind w:left="1134" w:hanging="0"/>
              <w:rPr>
                <w:b/>
                <w:b/>
                <w:bCs/>
                <w:i/>
                <w:i/>
                <w:iCs/>
              </w:rPr>
            </w:pPr>
            <w:r>
              <w:rPr>
                <w:b/>
                <w:bCs/>
                <w:i/>
                <w:iCs/>
                <w:color w:val="000000"/>
              </w:rPr>
              <w:t>2. Kaip šiuo metu yra sureguliuoti projekte aptarti klausimai.</w:t>
            </w:r>
          </w:p>
        </w:tc>
      </w:tr>
      <w:tr>
        <w:trPr/>
        <w:tc>
          <w:tcPr>
            <w:tcW w:w="9854" w:type="dxa"/>
            <w:tcBorders/>
            <w:shd w:color="auto" w:fill="auto" w:val="clear"/>
          </w:tcPr>
          <w:p>
            <w:pPr>
              <w:pStyle w:val="Normal"/>
              <w:ind w:firstLine="1134"/>
              <w:jc w:val="both"/>
              <w:rPr>
                <w:color w:val="000000"/>
              </w:rPr>
            </w:pPr>
            <w:r>
              <w:rPr>
                <w:color w:val="000000"/>
              </w:rPr>
              <w:t>Socialinė parama teikiama vadovaujantis:</w:t>
            </w:r>
          </w:p>
          <w:p>
            <w:pPr>
              <w:pStyle w:val="Normal"/>
              <w:numPr>
                <w:ilvl w:val="0"/>
                <w:numId w:val="1"/>
              </w:numPr>
              <w:ind w:left="0" w:firstLine="1134"/>
              <w:jc w:val="both"/>
              <w:rPr/>
            </w:pPr>
            <w:hyperlink r:id="rId2">
              <w:r>
                <w:rPr>
                  <w:rStyle w:val="Internetosaitas"/>
                  <w:color w:val="000000"/>
                </w:rPr>
                <w:t>Piniginės socialinės paramos nepasiturintiems gyventojams įstatymu</w:t>
              </w:r>
            </w:hyperlink>
            <w:r>
              <w:rPr>
                <w:color w:val="000000"/>
              </w:rPr>
              <w:t>;</w:t>
            </w:r>
          </w:p>
          <w:p>
            <w:pPr>
              <w:pStyle w:val="Normal"/>
              <w:numPr>
                <w:ilvl w:val="0"/>
                <w:numId w:val="1"/>
              </w:numPr>
              <w:ind w:left="0" w:firstLine="1134"/>
              <w:jc w:val="both"/>
              <w:rPr>
                <w:color w:val="000000"/>
              </w:rPr>
            </w:pPr>
            <w:r>
              <w:rPr>
                <w:color w:val="000000"/>
              </w:rPr>
              <w:t>Šilutės rajono savivaldybės tarybos 2016-06-30 sprendimu Nr. T1-380 ,,Dėl piniginės socialinės paramos teikimo nepasiturintiems Šilutės rajono savivaldybės gyventojams tvarkos aprašo patvirtinimo</w:t>
            </w:r>
            <w:r>
              <w:rPr>
                <w:b/>
                <w:bCs/>
                <w:caps/>
                <w:color w:val="000000"/>
              </w:rPr>
              <w:t>“.</w:t>
            </w:r>
            <w:r>
              <w:rPr>
                <w:color w:val="000000"/>
              </w:rPr>
              <w:t xml:space="preserve"> </w:t>
            </w:r>
          </w:p>
        </w:tc>
      </w:tr>
      <w:tr>
        <w:trPr/>
        <w:tc>
          <w:tcPr>
            <w:tcW w:w="9854" w:type="dxa"/>
            <w:tcBorders/>
            <w:shd w:color="auto" w:fill="auto" w:val="clear"/>
          </w:tcPr>
          <w:p>
            <w:pPr>
              <w:pStyle w:val="Normal"/>
              <w:snapToGrid w:val="false"/>
              <w:ind w:firstLine="1134"/>
              <w:rPr>
                <w:rFonts w:eastAsia="Calibri"/>
                <w:i/>
                <w:i/>
                <w:iCs/>
                <w:color w:val="000000"/>
                <w:lang w:eastAsia="lt-LT"/>
              </w:rPr>
            </w:pPr>
            <w:r>
              <w:rPr>
                <w:rFonts w:eastAsia="Calibri"/>
                <w:i/>
                <w:iCs/>
                <w:color w:val="000000"/>
                <w:lang w:eastAsia="lt-LT"/>
              </w:rPr>
            </w:r>
          </w:p>
          <w:p>
            <w:pPr>
              <w:pStyle w:val="Normal"/>
              <w:ind w:firstLine="1134"/>
              <w:rPr>
                <w:b/>
                <w:b/>
                <w:bCs/>
                <w:i/>
                <w:i/>
                <w:iCs/>
              </w:rPr>
            </w:pPr>
            <w:r>
              <w:rPr>
                <w:b/>
                <w:bCs/>
                <w:i/>
                <w:iCs/>
                <w:color w:val="000000"/>
              </w:rPr>
              <w:t>3. Kokių pozityvių rezultatų laukiama.</w:t>
            </w:r>
          </w:p>
        </w:tc>
      </w:tr>
      <w:tr>
        <w:trPr/>
        <w:tc>
          <w:tcPr>
            <w:tcW w:w="9854" w:type="dxa"/>
            <w:tcBorders/>
            <w:shd w:color="auto" w:fill="auto" w:val="clear"/>
          </w:tcPr>
          <w:p>
            <w:pPr>
              <w:pStyle w:val="Normal"/>
              <w:ind w:firstLine="1134"/>
              <w:jc w:val="both"/>
              <w:rPr>
                <w:color w:val="000000"/>
              </w:rPr>
            </w:pPr>
            <w:r>
              <w:rPr>
                <w:color w:val="000000"/>
              </w:rPr>
              <w:t>Naujo tvarkos aprašo, atitinkančio Piniginės socialinės paramos įstatymo nuostatas, patvirtinimas.</w:t>
            </w:r>
          </w:p>
        </w:tc>
      </w:tr>
      <w:tr>
        <w:trPr/>
        <w:tc>
          <w:tcPr>
            <w:tcW w:w="9854" w:type="dxa"/>
            <w:tcBorders/>
            <w:shd w:color="auto" w:fill="auto" w:val="clear"/>
          </w:tcPr>
          <w:p>
            <w:pPr>
              <w:pStyle w:val="Normal"/>
              <w:snapToGrid w:val="false"/>
              <w:ind w:firstLine="1134"/>
              <w:rPr>
                <w:rFonts w:eastAsia="Calibri"/>
                <w:i/>
                <w:i/>
                <w:iCs/>
                <w:color w:val="000000"/>
                <w:lang w:eastAsia="lt-LT"/>
              </w:rPr>
            </w:pPr>
            <w:r>
              <w:rPr>
                <w:rFonts w:eastAsia="Calibri"/>
                <w:i/>
                <w:iCs/>
                <w:color w:val="000000"/>
                <w:lang w:eastAsia="lt-LT"/>
              </w:rPr>
            </w:r>
          </w:p>
          <w:p>
            <w:pPr>
              <w:pStyle w:val="Normal"/>
              <w:ind w:firstLine="1134"/>
              <w:rPr>
                <w:b/>
                <w:b/>
                <w:bCs/>
                <w:i/>
                <w:i/>
                <w:iCs/>
              </w:rPr>
            </w:pPr>
            <w:r>
              <w:rPr>
                <w:b/>
                <w:bCs/>
                <w:i/>
                <w:iCs/>
                <w:color w:val="000000"/>
              </w:rPr>
              <w:t>4. Galimos neigiamos priimto projekto pasekmės ir kokių priemonių reikėtų imtis, kad tokių pasekmių būtų išvengta.</w:t>
            </w:r>
          </w:p>
        </w:tc>
      </w:tr>
      <w:tr>
        <w:trPr/>
        <w:tc>
          <w:tcPr>
            <w:tcW w:w="9854" w:type="dxa"/>
            <w:tcBorders/>
            <w:shd w:color="auto" w:fill="auto" w:val="clear"/>
          </w:tcPr>
          <w:p>
            <w:pPr>
              <w:pStyle w:val="Normal"/>
              <w:ind w:firstLine="1134"/>
              <w:jc w:val="both"/>
              <w:rPr>
                <w:color w:val="000000"/>
              </w:rPr>
            </w:pPr>
            <w:r>
              <w:rPr>
                <w:color w:val="000000"/>
              </w:rPr>
              <w:t xml:space="preserve">Nėra. </w:t>
            </w:r>
          </w:p>
        </w:tc>
      </w:tr>
      <w:tr>
        <w:trPr/>
        <w:tc>
          <w:tcPr>
            <w:tcW w:w="9854" w:type="dxa"/>
            <w:tcBorders/>
            <w:shd w:color="auto" w:fill="auto" w:val="clear"/>
          </w:tcPr>
          <w:p>
            <w:pPr>
              <w:pStyle w:val="Normal"/>
              <w:snapToGrid w:val="false"/>
              <w:ind w:firstLine="1134"/>
              <w:rPr>
                <w:rFonts w:eastAsia="Calibri"/>
                <w:b/>
                <w:b/>
                <w:bCs/>
                <w:i/>
                <w:i/>
                <w:iCs/>
                <w:color w:val="000000"/>
                <w:lang w:eastAsia="lt-LT"/>
              </w:rPr>
            </w:pPr>
            <w:r>
              <w:rPr>
                <w:rFonts w:eastAsia="Calibri"/>
                <w:b/>
                <w:bCs/>
                <w:i/>
                <w:iCs/>
                <w:color w:val="000000"/>
                <w:lang w:eastAsia="lt-LT"/>
              </w:rPr>
            </w:r>
          </w:p>
          <w:p>
            <w:pPr>
              <w:pStyle w:val="Normal"/>
              <w:ind w:firstLine="1134"/>
              <w:jc w:val="both"/>
              <w:rPr>
                <w:b/>
                <w:b/>
                <w:bCs/>
                <w:i/>
                <w:i/>
                <w:iCs/>
              </w:rPr>
            </w:pPr>
            <w:r>
              <w:rPr>
                <w:b/>
                <w:bCs/>
                <w:i/>
                <w:iCs/>
                <w:color w:val="000000"/>
              </w:rPr>
              <w:t>5. Kokie šios srities aktai tebegalioja (pateikiamas šių aktų sąrašas) ir kokius galiojančius aktus reikės pakeisti ar panaikinti; jeigu reikia Kolegijos ar mero priimamų aktų, kas ir kada juos turėtų parengti, priėmus teikiamą projektą.</w:t>
            </w:r>
          </w:p>
        </w:tc>
      </w:tr>
      <w:tr>
        <w:trPr/>
        <w:tc>
          <w:tcPr>
            <w:tcW w:w="9854" w:type="dxa"/>
            <w:tcBorders/>
            <w:shd w:color="auto" w:fill="auto" w:val="clear"/>
          </w:tcPr>
          <w:p>
            <w:pPr>
              <w:pStyle w:val="Normal"/>
              <w:numPr>
                <w:ilvl w:val="0"/>
                <w:numId w:val="2"/>
              </w:numPr>
              <w:ind w:left="0" w:firstLine="1134"/>
              <w:jc w:val="both"/>
              <w:rPr>
                <w:color w:val="000000"/>
              </w:rPr>
            </w:pPr>
            <w:r>
              <w:rPr>
                <w:color w:val="000000"/>
              </w:rPr>
              <w:t>Šilutės rajono savivaldybės tarybos 2016-06-30 sprendimu Nr. T1-380 ,,Dėl piniginės socialinės paramos teikimo nepasiturintiems Šilutės rajono savivaldybės gyventojams tvarkos aprašo patvirtinimo</w:t>
            </w:r>
            <w:r>
              <w:rPr>
                <w:b/>
                <w:bCs/>
                <w:caps/>
                <w:color w:val="000000"/>
              </w:rPr>
              <w:t xml:space="preserve">“; </w:t>
            </w:r>
          </w:p>
          <w:p>
            <w:pPr>
              <w:pStyle w:val="Normal"/>
              <w:numPr>
                <w:ilvl w:val="0"/>
                <w:numId w:val="2"/>
              </w:numPr>
              <w:ind w:left="0" w:firstLine="1134"/>
              <w:jc w:val="both"/>
              <w:rPr>
                <w:color w:val="000000"/>
              </w:rPr>
            </w:pPr>
            <w:r>
              <w:rPr>
                <w:color w:val="000000"/>
              </w:rPr>
              <w:t xml:space="preserve">Šilutės rajono savivaldybės tarybos 2015-02-19 sprendimu Nr. T1-2425 ,,Dėl </w:t>
            </w:r>
            <w:r>
              <w:rPr>
                <w:rFonts w:cs="Times New Roman"/>
                <w:bCs/>
                <w:color w:val="000000"/>
                <w:lang w:eastAsia="lt-LT"/>
              </w:rPr>
              <w:t>nepanaudotų lėšų, skirtų piniginei socialinės paramai, naudojimo Šilutės rajono savivaldybėje kitoms savarankiškoms funkcijoms finansuoti tvarkos aprašo patvirtinimo</w:t>
            </w:r>
            <w:r>
              <w:rPr>
                <w:caps/>
                <w:color w:val="000000"/>
              </w:rPr>
              <w:t>“.</w:t>
            </w:r>
          </w:p>
          <w:p>
            <w:pPr>
              <w:pStyle w:val="Normal"/>
              <w:ind w:left="1554" w:hanging="0"/>
              <w:jc w:val="both"/>
              <w:rPr>
                <w:color w:val="000000"/>
              </w:rPr>
            </w:pPr>
            <w:r>
              <w:rPr>
                <w:color w:val="000000"/>
              </w:rPr>
            </w:r>
          </w:p>
        </w:tc>
      </w:tr>
      <w:tr>
        <w:trPr/>
        <w:tc>
          <w:tcPr>
            <w:tcW w:w="9854" w:type="dxa"/>
            <w:tcBorders/>
            <w:shd w:color="auto" w:fill="auto" w:val="clear"/>
          </w:tcPr>
          <w:p>
            <w:pPr>
              <w:pStyle w:val="Normal"/>
              <w:snapToGrid w:val="false"/>
              <w:ind w:firstLine="1134"/>
              <w:jc w:val="both"/>
              <w:rPr>
                <w:b/>
                <w:b/>
                <w:bCs/>
                <w:i/>
                <w:i/>
                <w:iCs/>
                <w:color w:val="000000"/>
              </w:rPr>
            </w:pPr>
            <w:r>
              <w:rPr>
                <w:b/>
                <w:bCs/>
                <w:i/>
                <w:iCs/>
                <w:color w:val="000000"/>
              </w:rPr>
            </w:r>
          </w:p>
          <w:p>
            <w:pPr>
              <w:pStyle w:val="Normal"/>
              <w:ind w:firstLine="1134"/>
              <w:jc w:val="both"/>
              <w:rPr>
                <w:b/>
                <w:b/>
                <w:bCs/>
                <w:i/>
                <w:i/>
                <w:iCs/>
              </w:rPr>
            </w:pPr>
            <w:r>
              <w:rPr>
                <w:b/>
                <w:bCs/>
                <w:i/>
                <w:iCs/>
                <w:color w:val="000000"/>
              </w:rPr>
              <w:t>6. Jeigu reikia atlikti sprendimo projekto antikorupcinį vertinimą, sprendžia projekto rengėjas, atsižvelgdamas į Teisės aktų projektų antikorupcinio vertinimo taisykles.</w:t>
            </w:r>
          </w:p>
        </w:tc>
      </w:tr>
      <w:tr>
        <w:trPr/>
        <w:tc>
          <w:tcPr>
            <w:tcW w:w="9854" w:type="dxa"/>
            <w:tcBorders/>
            <w:shd w:color="auto" w:fill="auto" w:val="clear"/>
          </w:tcPr>
          <w:p>
            <w:pPr>
              <w:pStyle w:val="Normal"/>
              <w:ind w:firstLine="1134"/>
              <w:jc w:val="both"/>
              <w:rPr>
                <w:color w:val="000000"/>
              </w:rPr>
            </w:pPr>
            <w:r>
              <w:rPr>
                <w:color w:val="000000"/>
              </w:rPr>
              <w:t>Antikorupcinį vertinimą atlikti nereikia.</w:t>
            </w:r>
          </w:p>
        </w:tc>
      </w:tr>
      <w:tr>
        <w:trPr/>
        <w:tc>
          <w:tcPr>
            <w:tcW w:w="9854" w:type="dxa"/>
            <w:tcBorders/>
            <w:shd w:color="auto" w:fill="auto" w:val="clear"/>
          </w:tcPr>
          <w:p>
            <w:pPr>
              <w:pStyle w:val="Normal"/>
              <w:snapToGrid w:val="false"/>
              <w:ind w:firstLine="1134"/>
              <w:rPr>
                <w:rFonts w:eastAsia="Calibri"/>
                <w:i/>
                <w:i/>
                <w:iCs/>
                <w:color w:val="000000"/>
                <w:lang w:eastAsia="lt-LT"/>
              </w:rPr>
            </w:pPr>
            <w:r>
              <w:rPr>
                <w:rFonts w:eastAsia="Calibri"/>
                <w:i/>
                <w:iCs/>
                <w:color w:val="000000"/>
                <w:lang w:eastAsia="lt-LT"/>
              </w:rPr>
            </w:r>
          </w:p>
          <w:p>
            <w:pPr>
              <w:pStyle w:val="Normal"/>
              <w:ind w:firstLine="1134"/>
              <w:jc w:val="both"/>
              <w:rPr>
                <w:b/>
                <w:b/>
                <w:bCs/>
                <w:i/>
                <w:i/>
                <w:iCs/>
              </w:rPr>
            </w:pPr>
            <w:r>
              <w:rPr>
                <w:b/>
                <w:bCs/>
                <w:i/>
                <w:iCs/>
                <w:color w:val="000000"/>
              </w:rPr>
              <w:t>7. Projekto rengimo metu gauti specialistų vertinimai ir išvados, ekonominiai apskaičiavimai (sąmatos) ir konkretūs finansavimo šaltiniai.</w:t>
            </w:r>
          </w:p>
        </w:tc>
      </w:tr>
      <w:tr>
        <w:trPr/>
        <w:tc>
          <w:tcPr>
            <w:tcW w:w="9854" w:type="dxa"/>
            <w:tcBorders/>
            <w:shd w:color="auto" w:fill="auto" w:val="clear"/>
          </w:tcPr>
          <w:p>
            <w:pPr>
              <w:pStyle w:val="Normal"/>
              <w:ind w:firstLine="1134"/>
              <w:jc w:val="both"/>
              <w:rPr>
                <w:color w:val="000000"/>
              </w:rPr>
            </w:pPr>
            <w:r>
              <w:rPr>
                <w:color w:val="000000"/>
              </w:rPr>
              <w:t>Nėra.</w:t>
            </w:r>
          </w:p>
        </w:tc>
      </w:tr>
      <w:tr>
        <w:trPr/>
        <w:tc>
          <w:tcPr>
            <w:tcW w:w="9854" w:type="dxa"/>
            <w:tcBorders/>
            <w:shd w:color="auto" w:fill="auto" w:val="clear"/>
          </w:tcPr>
          <w:p>
            <w:pPr>
              <w:pStyle w:val="Normal"/>
              <w:snapToGrid w:val="false"/>
              <w:ind w:firstLine="1134"/>
              <w:rPr>
                <w:rFonts w:eastAsia="Calibri"/>
                <w:b/>
                <w:b/>
                <w:bCs/>
                <w:i/>
                <w:i/>
                <w:iCs/>
                <w:color w:val="000000"/>
                <w:lang w:eastAsia="lt-LT"/>
              </w:rPr>
            </w:pPr>
            <w:r>
              <w:rPr>
                <w:rFonts w:eastAsia="Calibri"/>
                <w:b/>
                <w:bCs/>
                <w:i/>
                <w:iCs/>
                <w:color w:val="000000"/>
                <w:lang w:eastAsia="lt-LT"/>
              </w:rPr>
            </w:r>
          </w:p>
          <w:p>
            <w:pPr>
              <w:pStyle w:val="Normal"/>
              <w:ind w:firstLine="1134"/>
              <w:rPr/>
            </w:pPr>
            <w:r>
              <w:rPr>
                <w:b/>
                <w:bCs/>
                <w:i/>
                <w:iCs/>
                <w:color w:val="000000"/>
              </w:rPr>
              <w:t>8. Projekto autorius ar autorių grupė.</w:t>
            </w:r>
          </w:p>
        </w:tc>
      </w:tr>
      <w:tr>
        <w:trPr/>
        <w:tc>
          <w:tcPr>
            <w:tcW w:w="9854" w:type="dxa"/>
            <w:tcBorders/>
            <w:shd w:color="auto" w:fill="auto" w:val="clear"/>
          </w:tcPr>
          <w:p>
            <w:pPr>
              <w:pStyle w:val="Normal"/>
              <w:widowControl w:val="false"/>
              <w:ind w:firstLine="1134"/>
              <w:rPr/>
            </w:pPr>
            <w:r>
              <w:rPr>
                <w:color w:val="000000"/>
              </w:rPr>
              <w:t>Socialinės paramos skyriaus vedėjas Alvidas Šimelionis;</w:t>
            </w:r>
          </w:p>
          <w:p>
            <w:pPr>
              <w:pStyle w:val="Normal"/>
              <w:ind w:firstLine="850"/>
              <w:rPr/>
            </w:pPr>
            <w:r>
              <w:rPr>
                <w:color w:val="000000"/>
              </w:rPr>
              <w:t xml:space="preserve">     </w:t>
            </w:r>
            <w:r>
              <w:rPr>
                <w:color w:val="000000"/>
              </w:rPr>
              <w:t>Socialinės paramos skyriaus vyriausioji specialistė Asta Lileikienė.</w:t>
            </w:r>
          </w:p>
        </w:tc>
      </w:tr>
      <w:tr>
        <w:trPr/>
        <w:tc>
          <w:tcPr>
            <w:tcW w:w="9854" w:type="dxa"/>
            <w:tcBorders/>
            <w:shd w:color="auto" w:fill="auto" w:val="clear"/>
          </w:tcPr>
          <w:p>
            <w:pPr>
              <w:pStyle w:val="Normal"/>
              <w:snapToGrid w:val="false"/>
              <w:rPr>
                <w:rFonts w:eastAsia="Calibri"/>
                <w:b/>
                <w:b/>
                <w:bCs/>
                <w:i/>
                <w:i/>
                <w:iCs/>
                <w:color w:val="000000"/>
                <w:lang w:eastAsia="lt-LT"/>
              </w:rPr>
            </w:pPr>
            <w:r>
              <w:rPr>
                <w:rFonts w:eastAsia="Calibri"/>
                <w:b/>
                <w:bCs/>
                <w:i/>
                <w:iCs/>
                <w:color w:val="000000"/>
                <w:lang w:eastAsia="lt-LT"/>
              </w:rPr>
            </w:r>
          </w:p>
          <w:p>
            <w:pPr>
              <w:pStyle w:val="Normal"/>
              <w:ind w:firstLine="1134"/>
              <w:rPr>
                <w:b/>
                <w:b/>
                <w:bCs/>
                <w:i/>
                <w:i/>
                <w:iCs/>
              </w:rPr>
            </w:pPr>
            <w:r>
              <w:rPr>
                <w:b/>
                <w:bCs/>
                <w:i/>
                <w:iCs/>
                <w:color w:val="000000"/>
              </w:rPr>
              <w:t>9. Reikšminiai projekto žodžiai, kurių reikia šiam projektui įtraukti į kompiuterinę paieškos sistemą.</w:t>
            </w:r>
          </w:p>
        </w:tc>
      </w:tr>
      <w:tr>
        <w:trPr/>
        <w:tc>
          <w:tcPr>
            <w:tcW w:w="9854" w:type="dxa"/>
            <w:tcBorders/>
            <w:shd w:color="auto" w:fill="auto" w:val="clear"/>
          </w:tcPr>
          <w:p>
            <w:pPr>
              <w:pStyle w:val="Normal"/>
              <w:tabs>
                <w:tab w:val="left" w:pos="0" w:leader="none"/>
              </w:tabs>
              <w:ind w:right="340" w:firstLine="1247"/>
              <w:rPr>
                <w:color w:val="000000"/>
              </w:rPr>
            </w:pPr>
            <w:r>
              <w:rPr>
                <w:color w:val="000000"/>
              </w:rPr>
              <w:t xml:space="preserve">Nepanaudotos lėšos, skirtos socialinei paramai </w:t>
            </w:r>
          </w:p>
        </w:tc>
      </w:tr>
      <w:tr>
        <w:trPr/>
        <w:tc>
          <w:tcPr>
            <w:tcW w:w="9854" w:type="dxa"/>
            <w:tcBorders/>
            <w:shd w:color="auto" w:fill="auto" w:val="clear"/>
          </w:tcPr>
          <w:p>
            <w:pPr>
              <w:pStyle w:val="Normal"/>
              <w:snapToGrid w:val="false"/>
              <w:ind w:firstLine="1134"/>
              <w:rPr>
                <w:rFonts w:eastAsia="Calibri"/>
                <w:b/>
                <w:b/>
                <w:bCs/>
                <w:i/>
                <w:i/>
                <w:iCs/>
                <w:color w:val="000000"/>
                <w:lang w:eastAsia="lt-LT"/>
              </w:rPr>
            </w:pPr>
            <w:r>
              <w:rPr>
                <w:rFonts w:eastAsia="Calibri"/>
                <w:b/>
                <w:bCs/>
                <w:i/>
                <w:iCs/>
                <w:color w:val="000000"/>
                <w:lang w:eastAsia="lt-LT"/>
              </w:rPr>
            </w:r>
          </w:p>
          <w:p>
            <w:pPr>
              <w:pStyle w:val="Normal"/>
              <w:ind w:firstLine="1134"/>
              <w:rPr>
                <w:b/>
                <w:b/>
                <w:bCs/>
                <w:i/>
                <w:i/>
                <w:iCs/>
              </w:rPr>
            </w:pPr>
            <w:r>
              <w:rPr>
                <w:b/>
                <w:bCs/>
                <w:i/>
                <w:iCs/>
                <w:color w:val="000000"/>
              </w:rPr>
              <w:t>10. Kiti, autorių nuomone, reikalingi pagrindimai ir paaiškinimai.</w:t>
            </w:r>
          </w:p>
        </w:tc>
      </w:tr>
      <w:tr>
        <w:trPr/>
        <w:tc>
          <w:tcPr>
            <w:tcW w:w="9854" w:type="dxa"/>
            <w:tcBorders/>
            <w:shd w:color="auto" w:fill="auto" w:val="clear"/>
          </w:tcPr>
          <w:p>
            <w:pPr>
              <w:pStyle w:val="Normal"/>
              <w:tabs>
                <w:tab w:val="left" w:pos="0" w:leader="none"/>
              </w:tabs>
              <w:snapToGrid w:val="false"/>
              <w:ind w:firstLine="1134"/>
              <w:jc w:val="both"/>
              <w:rPr>
                <w:rFonts w:cs="Times New Roman"/>
                <w:color w:val="000000"/>
              </w:rPr>
            </w:pPr>
            <w:r>
              <w:rPr>
                <w:rFonts w:cs="Times New Roman"/>
                <w:color w:val="000000"/>
              </w:rPr>
            </w:r>
          </w:p>
          <w:p>
            <w:pPr>
              <w:pStyle w:val="ListParagraph"/>
              <w:widowControl w:val="false"/>
              <w:shd w:val="clear" w:color="auto" w:fill="FFFFFF"/>
              <w:tabs>
                <w:tab w:val="left" w:pos="993" w:leader="none"/>
              </w:tabs>
              <w:spacing w:lineRule="auto" w:line="276"/>
              <w:ind w:left="0" w:firstLine="709"/>
              <w:jc w:val="both"/>
              <w:rPr/>
            </w:pPr>
            <w:r>
              <w:rPr>
                <w:rFonts w:cs="Times New Roman"/>
                <w:color w:val="000000"/>
                <w:lang w:eastAsia="lt-LT"/>
              </w:rPr>
              <w:t>Įgyvendinant papildytas Lietuvos Respublikos piniginės socialinės paramos nepasiturintiems gyventojams įstatymo nuostatas nustatytos konkrečios socialinės apsaugos srities priemonės, kurioms turi būti naudojamos piniginei socialinei paramai skaičiuoti ir mokėti nepanaudotos savivaldybių biudžetų lėšos.</w:t>
            </w:r>
          </w:p>
        </w:tc>
      </w:tr>
      <w:tr>
        <w:trPr/>
        <w:tc>
          <w:tcPr>
            <w:tcW w:w="9854" w:type="dxa"/>
            <w:tcBorders/>
            <w:shd w:color="auto" w:fill="auto" w:val="clear"/>
          </w:tcPr>
          <w:p>
            <w:pPr>
              <w:pStyle w:val="Normal"/>
              <w:tabs>
                <w:tab w:val="left" w:pos="0" w:leader="none"/>
              </w:tabs>
              <w:snapToGrid w:val="false"/>
              <w:ind w:firstLine="1134"/>
              <w:jc w:val="both"/>
              <w:rPr>
                <w:rFonts w:eastAsia="Calibri"/>
                <w:color w:val="000000"/>
                <w:lang w:eastAsia="lt-LT"/>
              </w:rPr>
            </w:pPr>
            <w:r>
              <w:rPr>
                <w:rFonts w:eastAsia="Calibri"/>
                <w:color w:val="000000"/>
                <w:lang w:eastAsia="lt-LT"/>
              </w:rPr>
            </w:r>
          </w:p>
        </w:tc>
      </w:tr>
    </w:tbl>
    <w:p>
      <w:pPr>
        <w:pStyle w:val="Normal"/>
        <w:tabs>
          <w:tab w:val="left" w:pos="0"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aps/>
        </w:rPr>
      </w:pPr>
      <w:r>
        <w:rPr>
          <w:b/>
          <w:caps/>
        </w:rPr>
      </w:r>
    </w:p>
    <w:p>
      <w:pPr>
        <w:pStyle w:val="Normal"/>
        <w:ind w:firstLine="1134"/>
        <w:jc w:val="center"/>
        <w:rPr>
          <w:b/>
          <w:b/>
          <w:caps/>
        </w:rPr>
      </w:pPr>
      <w:r>
        <w:rPr>
          <w:b/>
          <w:caps/>
        </w:rPr>
      </w:r>
    </w:p>
    <w:tbl>
      <w:tblPr>
        <w:tblW w:w="9888" w:type="dxa"/>
        <w:jc w:val="left"/>
        <w:tblInd w:w="-34" w:type="dxa"/>
        <w:tblBorders/>
        <w:tblCellMar>
          <w:top w:w="0" w:type="dxa"/>
          <w:left w:w="108" w:type="dxa"/>
          <w:bottom w:w="0" w:type="dxa"/>
          <w:right w:w="108" w:type="dxa"/>
        </w:tblCellMar>
        <w:tblLook w:firstRow="0" w:noVBand="0" w:lastRow="0" w:firstColumn="0" w:lastColumn="0" w:noHBand="0" w:val="0000"/>
      </w:tblPr>
      <w:tblGrid>
        <w:gridCol w:w="5122"/>
        <w:gridCol w:w="4765"/>
      </w:tblGrid>
      <w:tr>
        <w:trPr/>
        <w:tc>
          <w:tcPr>
            <w:tcW w:w="5122" w:type="dxa"/>
            <w:tcBorders/>
            <w:shd w:color="auto" w:fill="auto" w:val="clear"/>
          </w:tcPr>
          <w:p>
            <w:pPr>
              <w:pStyle w:val="BodyTextIndent3"/>
              <w:spacing w:before="0" w:after="120"/>
              <w:ind w:left="0" w:hanging="0"/>
              <w:rPr>
                <w:bCs/>
                <w:sz w:val="24"/>
                <w:szCs w:val="24"/>
              </w:rPr>
            </w:pPr>
            <w:r>
              <w:rPr>
                <w:bCs/>
                <w:sz w:val="24"/>
                <w:szCs w:val="24"/>
              </w:rPr>
              <w:t xml:space="preserve">Vyriausioji specialistė </w:t>
            </w:r>
          </w:p>
        </w:tc>
        <w:tc>
          <w:tcPr>
            <w:tcW w:w="4765" w:type="dxa"/>
            <w:tcBorders/>
            <w:shd w:color="auto" w:fill="auto" w:val="clear"/>
          </w:tcPr>
          <w:p>
            <w:pPr>
              <w:pStyle w:val="BodyTextIndent3"/>
              <w:spacing w:before="0" w:after="120"/>
              <w:ind w:left="0" w:firstLine="1134"/>
              <w:jc w:val="right"/>
              <w:rPr>
                <w:bCs/>
                <w:sz w:val="24"/>
                <w:szCs w:val="24"/>
              </w:rPr>
            </w:pPr>
            <w:r>
              <w:rPr>
                <w:bCs/>
                <w:sz w:val="24"/>
                <w:szCs w:val="24"/>
              </w:rPr>
              <w:t>Asta Lileikienė</w:t>
            </w:r>
          </w:p>
        </w:tc>
      </w:tr>
    </w:tbl>
    <w:p>
      <w:pPr>
        <w:pStyle w:val="Normal"/>
        <w:ind w:left="5102" w:hanging="0"/>
        <w:jc w:val="both"/>
        <w:rPr/>
      </w:pPr>
      <w:r>
        <w:rPr/>
      </w:r>
    </w:p>
    <w:p>
      <w:pPr>
        <w:pStyle w:val="ListParagraph"/>
        <w:widowControl w:val="false"/>
        <w:tabs>
          <w:tab w:val="left" w:pos="993" w:leader="none"/>
        </w:tabs>
        <w:spacing w:lineRule="auto" w:line="276"/>
        <w:ind w:left="1871" w:hanging="0"/>
        <w:jc w:val="both"/>
        <w:rPr>
          <w:rFonts w:cs="Times New Roman"/>
          <w:color w:val="FF0000"/>
        </w:rPr>
      </w:pPr>
      <w:r>
        <w:rPr>
          <w:rFonts w:cs="Times New Roman"/>
          <w:color w:val="FF0000"/>
        </w:rPr>
      </w:r>
    </w:p>
    <w:p>
      <w:pPr>
        <w:pStyle w:val="Normal"/>
        <w:shd w:val="clear" w:color="auto" w:fill="FFFFFF"/>
        <w:tabs>
          <w:tab w:val="left" w:pos="851" w:leader="none"/>
        </w:tabs>
        <w:spacing w:lineRule="auto" w:line="276"/>
        <w:ind w:firstLine="709"/>
        <w:jc w:val="both"/>
        <w:rPr>
          <w:color w:val="FF0000"/>
        </w:rPr>
      </w:pPr>
      <w:r>
        <w:rPr>
          <w:color w:val="FF0000"/>
        </w:rPr>
      </w:r>
    </w:p>
    <w:p>
      <w:pPr>
        <w:pStyle w:val="Normal"/>
        <w:widowControl w:val="false"/>
        <w:shd w:val="clear" w:color="auto" w:fill="FFFFFF"/>
        <w:tabs>
          <w:tab w:val="left" w:pos="709" w:leader="none"/>
        </w:tabs>
        <w:spacing w:lineRule="auto" w:line="276"/>
        <w:ind w:firstLine="709"/>
        <w:jc w:val="both"/>
        <w:rPr/>
      </w:pPr>
      <w:r>
        <w:rPr/>
      </w:r>
    </w:p>
    <w:sectPr>
      <w:type w:val="nextPage"/>
      <w:pgSz w:w="11906" w:h="16838"/>
      <w:pgMar w:left="1696" w:right="1134" w:header="0" w:top="1134" w:footer="0" w:bottom="79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1554" w:hanging="360"/>
      </w:pPr>
      <w:rPr>
        <w:caps/>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space"/>
      <w:lvlText w:val="%1."/>
      <w:lvlJc w:val="left"/>
      <w:pPr>
        <w:ind w:left="1554" w:hanging="360"/>
      </w:pPr>
      <w:rPr>
        <w:caps/>
        <w:sz w:val="24"/>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1"/>
  <w:trackRevisions/>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lt-L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SimSun" w:cs="Lucida Sans"/>
      <w:color w:val="00000A"/>
      <w:sz w:val="24"/>
      <w:szCs w:val="24"/>
      <w:lang w:val="lt-LT"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Pr>
      <w:b w:val="false"/>
      <w:bCs/>
      <w:caps/>
    </w:rPr>
  </w:style>
  <w:style w:type="character" w:styleId="WW8Num2z1" w:customStyle="1">
    <w:name w:val="WW8Num2z1"/>
    <w:qFormat/>
    <w:rPr/>
  </w:style>
  <w:style w:type="character" w:styleId="Internetosaitas" w:customStyle="1">
    <w:name w:val="Interneto saitas"/>
    <w:rPr>
      <w:color w:val="0000FF"/>
      <w:u w:val="single"/>
    </w:rPr>
  </w:style>
  <w:style w:type="character" w:styleId="WW8Num1z0" w:customStyle="1">
    <w:name w:val="WW8Num1z0"/>
    <w:qFormat/>
    <w:rPr>
      <w:b w:val="false"/>
      <w:bCs/>
      <w:caps/>
    </w:rPr>
  </w:style>
  <w:style w:type="character" w:styleId="WW8Num1z1" w:customStyle="1">
    <w:name w:val="WW8Num1z1"/>
    <w:qFormat/>
    <w:rPr/>
  </w:style>
  <w:style w:type="character" w:styleId="ListLabel1" w:customStyle="1">
    <w:name w:val="ListLabel 1"/>
    <w:qFormat/>
    <w:rPr>
      <w:b w:val="false"/>
      <w:bCs/>
      <w:caps/>
    </w:rPr>
  </w:style>
  <w:style w:type="character" w:styleId="ListLabel2" w:customStyle="1">
    <w:name w:val="ListLabel 2"/>
    <w:qFormat/>
    <w:rPr>
      <w:b w:val="false"/>
      <w:bCs/>
      <w:caps/>
    </w:rPr>
  </w:style>
  <w:style w:type="character" w:styleId="ListLabel3" w:customStyle="1">
    <w:name w:val="ListLabel 3"/>
    <w:qFormat/>
    <w:rPr>
      <w:b w:val="false"/>
      <w:bCs/>
      <w:caps/>
    </w:rPr>
  </w:style>
  <w:style w:type="character" w:styleId="ListLabel4" w:customStyle="1">
    <w:name w:val="ListLabel 4"/>
    <w:qFormat/>
    <w:rPr>
      <w:b w:val="false"/>
      <w:bCs/>
      <w:caps/>
    </w:rPr>
  </w:style>
  <w:style w:type="character" w:styleId="ListLabel5" w:customStyle="1">
    <w:name w:val="ListLabel 5"/>
    <w:qFormat/>
    <w:rPr>
      <w:b w:val="false"/>
      <w:bCs/>
      <w:caps/>
    </w:rPr>
  </w:style>
  <w:style w:type="character" w:styleId="ListLabel6" w:customStyle="1">
    <w:name w:val="ListLabel 6"/>
    <w:qFormat/>
    <w:rPr>
      <w:b w:val="false"/>
      <w:bCs/>
      <w:caps/>
    </w:rPr>
  </w:style>
  <w:style w:type="character" w:styleId="Aplankytasinternetosaitas" w:customStyle="1">
    <w:name w:val="Aplankytas interneto saitas"/>
    <w:basedOn w:val="DefaultParagraphFont"/>
    <w:rPr>
      <w:color w:val="800080"/>
      <w:u w:val="single"/>
    </w:rPr>
  </w:style>
  <w:style w:type="character" w:styleId="ListLabel16" w:customStyle="1">
    <w:name w:val="ListLabel 16"/>
    <w:qFormat/>
    <w:rPr>
      <w:i w:val="false"/>
      <w:color w:val="00000A"/>
    </w:rPr>
  </w:style>
  <w:style w:type="character" w:styleId="ListLabel17" w:customStyle="1">
    <w:name w:val="ListLabel 17"/>
    <w:qFormat/>
    <w:rPr>
      <w:b w:val="false"/>
      <w:bCs/>
      <w:caps/>
    </w:rPr>
  </w:style>
  <w:style w:type="character" w:styleId="ListLabel18" w:customStyle="1">
    <w:name w:val="ListLabel 18"/>
    <w:qFormat/>
    <w:rPr>
      <w:b w:val="false"/>
      <w:bCs/>
      <w:caps/>
      <w:sz w:val="24"/>
    </w:rPr>
  </w:style>
  <w:style w:type="character" w:styleId="ListLabel19" w:customStyle="1">
    <w:name w:val="ListLabel 19"/>
    <w:qFormat/>
    <w:rPr>
      <w:i w:val="false"/>
      <w:color w:val="00000A"/>
    </w:rPr>
  </w:style>
  <w:style w:type="character" w:styleId="ListLabel20" w:customStyle="1">
    <w:name w:val="ListLabel 20"/>
    <w:qFormat/>
    <w:rPr>
      <w:b w:val="false"/>
      <w:bCs/>
      <w:caps/>
    </w:rPr>
  </w:style>
  <w:style w:type="character" w:styleId="ListLabel21" w:customStyle="1">
    <w:name w:val="ListLabel 21"/>
    <w:qFormat/>
    <w:rPr>
      <w:b w:val="false"/>
      <w:bCs/>
      <w:caps/>
      <w:sz w:val="24"/>
    </w:rPr>
  </w:style>
  <w:style w:type="character" w:styleId="ListLabel22" w:customStyle="1">
    <w:name w:val="ListLabel 22"/>
    <w:qFormat/>
    <w:rPr>
      <w:b w:val="false"/>
      <w:bCs/>
      <w:caps/>
    </w:rPr>
  </w:style>
  <w:style w:type="character" w:styleId="ListLabel23" w:customStyle="1">
    <w:name w:val="ListLabel 23"/>
    <w:qFormat/>
    <w:rPr>
      <w:b w:val="false"/>
      <w:bCs/>
      <w:caps/>
      <w:sz w:val="24"/>
    </w:rPr>
  </w:style>
  <w:style w:type="character" w:styleId="ListLabel24" w:customStyle="1">
    <w:name w:val="ListLabel 24"/>
    <w:qFormat/>
    <w:rPr>
      <w:b w:val="false"/>
      <w:bCs/>
      <w:caps/>
    </w:rPr>
  </w:style>
  <w:style w:type="character" w:styleId="ListLabel25" w:customStyle="1">
    <w:name w:val="ListLabel 25"/>
    <w:qFormat/>
    <w:rPr>
      <w:b w:val="false"/>
      <w:bCs/>
      <w:caps/>
      <w:sz w:val="24"/>
    </w:rPr>
  </w:style>
  <w:style w:type="character" w:styleId="ListLabel26" w:customStyle="1">
    <w:name w:val="ListLabel 26"/>
    <w:qFormat/>
    <w:rPr>
      <w:b w:val="false"/>
      <w:bCs/>
      <w:caps/>
    </w:rPr>
  </w:style>
  <w:style w:type="character" w:styleId="ListLabel27" w:customStyle="1">
    <w:name w:val="ListLabel 27"/>
    <w:qFormat/>
    <w:rPr>
      <w:b w:val="false"/>
      <w:bCs/>
      <w:caps/>
      <w:sz w:val="24"/>
    </w:rPr>
  </w:style>
  <w:style w:type="character" w:styleId="ListLabel28" w:customStyle="1">
    <w:name w:val="ListLabel 28"/>
    <w:qFormat/>
    <w:rPr>
      <w:b w:val="false"/>
      <w:bCs/>
      <w:caps/>
    </w:rPr>
  </w:style>
  <w:style w:type="character" w:styleId="ListLabel29" w:customStyle="1">
    <w:name w:val="ListLabel 29"/>
    <w:qFormat/>
    <w:rPr>
      <w:b w:val="false"/>
      <w:bCs/>
      <w:caps/>
      <w:sz w:val="24"/>
    </w:rPr>
  </w:style>
  <w:style w:type="character" w:styleId="ListLabel30" w:customStyle="1">
    <w:name w:val="ListLabel 30"/>
    <w:qFormat/>
    <w:rPr>
      <w:b w:val="false"/>
      <w:bCs/>
      <w:caps/>
    </w:rPr>
  </w:style>
  <w:style w:type="character" w:styleId="ListLabel31" w:customStyle="1">
    <w:name w:val="ListLabel 31"/>
    <w:qFormat/>
    <w:rPr>
      <w:b w:val="false"/>
      <w:bCs/>
      <w:caps/>
      <w:sz w:val="24"/>
    </w:rPr>
  </w:style>
  <w:style w:type="character" w:styleId="ListLabel32" w:customStyle="1">
    <w:name w:val="ListLabel 32"/>
    <w:qFormat/>
    <w:rPr>
      <w:b w:val="false"/>
      <w:bCs/>
      <w:caps/>
    </w:rPr>
  </w:style>
  <w:style w:type="character" w:styleId="ListLabel33" w:customStyle="1">
    <w:name w:val="ListLabel 33"/>
    <w:qFormat/>
    <w:rPr>
      <w:b w:val="false"/>
      <w:bCs/>
      <w:caps/>
      <w:sz w:val="24"/>
    </w:rPr>
  </w:style>
  <w:style w:type="character" w:styleId="ListLabel34">
    <w:name w:val="ListLabel 34"/>
    <w:qFormat/>
    <w:rPr>
      <w:b w:val="false"/>
      <w:bCs/>
      <w:caps/>
    </w:rPr>
  </w:style>
  <w:style w:type="character" w:styleId="ListLabel35">
    <w:name w:val="ListLabel 35"/>
    <w:qFormat/>
    <w:rPr>
      <w:b w:val="false"/>
      <w:bCs/>
      <w:caps/>
      <w:sz w:val="24"/>
    </w:rPr>
  </w:style>
  <w:style w:type="character" w:styleId="ListLabel36">
    <w:name w:val="ListLabel 36"/>
    <w:qFormat/>
    <w:rPr>
      <w:b w:val="false"/>
      <w:bCs/>
      <w:caps/>
    </w:rPr>
  </w:style>
  <w:style w:type="character" w:styleId="ListLabel37">
    <w:name w:val="ListLabel 37"/>
    <w:qFormat/>
    <w:rPr>
      <w:b w:val="false"/>
      <w:bCs/>
      <w:caps/>
      <w:sz w:val="24"/>
    </w:rPr>
  </w:style>
  <w:style w:type="character" w:styleId="ListLabel38">
    <w:name w:val="ListLabel 38"/>
    <w:qFormat/>
    <w:rPr>
      <w:b w:val="false"/>
      <w:bCs/>
      <w:caps/>
    </w:rPr>
  </w:style>
  <w:style w:type="character" w:styleId="ListLabel39">
    <w:name w:val="ListLabel 39"/>
    <w:qFormat/>
    <w:rPr>
      <w:b w:val="false"/>
      <w:bCs/>
      <w:caps/>
      <w:sz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customStyle="1">
    <w:name w:val="Rodyklė"/>
    <w:basedOn w:val="Normal"/>
    <w:qFormat/>
    <w:pPr>
      <w:suppressLineNumbers/>
    </w:pPr>
    <w:rPr/>
  </w:style>
  <w:style w:type="paragraph" w:styleId="Caption">
    <w:name w:val="caption"/>
    <w:basedOn w:val="Normal"/>
    <w:qFormat/>
    <w:pPr>
      <w:suppressLineNumbers/>
      <w:spacing w:before="120" w:after="120"/>
    </w:pPr>
    <w:rPr>
      <w:i/>
      <w:iCs/>
    </w:rPr>
  </w:style>
  <w:style w:type="paragraph" w:styleId="Dokumentopaantrat">
    <w:name w:val="Subtitle"/>
    <w:basedOn w:val="Normal"/>
    <w:qFormat/>
    <w:pPr>
      <w:tabs>
        <w:tab w:val="left" w:pos="567" w:leader="none"/>
      </w:tabs>
      <w:jc w:val="center"/>
    </w:pPr>
    <w:rPr>
      <w:rFonts w:cs="Times New Roman"/>
      <w:b/>
      <w:bCs/>
    </w:rPr>
  </w:style>
  <w:style w:type="paragraph" w:styleId="Default" w:customStyle="1">
    <w:name w:val="Default"/>
    <w:qFormat/>
    <w:pPr>
      <w:widowControl/>
      <w:bidi w:val="0"/>
      <w:jc w:val="left"/>
    </w:pPr>
    <w:rPr>
      <w:rFonts w:ascii="Times New Roman" w:hAnsi="Times New Roman" w:eastAsia="Calibri" w:cs="Times New Roman"/>
      <w:color w:val="000000"/>
      <w:sz w:val="24"/>
      <w:szCs w:val="24"/>
      <w:lang w:val="lt-LT" w:eastAsia="zh-CN" w:bidi="ar-SA"/>
    </w:rPr>
  </w:style>
  <w:style w:type="paragraph" w:styleId="BodyTextIndent3">
    <w:name w:val="Body Text Indent 3"/>
    <w:basedOn w:val="Normal"/>
    <w:qFormat/>
    <w:pPr>
      <w:spacing w:before="0" w:after="120"/>
      <w:ind w:left="283" w:hanging="0"/>
    </w:pPr>
    <w:rPr>
      <w:rFonts w:cs="Times New Roman"/>
      <w:sz w:val="16"/>
      <w:szCs w:val="16"/>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customStyle="1">
    <w:name w:val="WW8Num2"/>
    <w:qFormat/>
  </w:style>
  <w:style w:type="numbering" w:styleId="WW8Num1" w:customStyle="1">
    <w:name w:val="WW8Num1"/>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lrs.lt/pls/inter3/dokpaieska.showdoc_l?p_id=450054"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Application>LibreOffice/5.3.7.2$Windows_X86_64 LibreOffice_project/6b8ed514a9f8b44d37a1b96673cbbdd077e24059</Application>
  <Pages>3</Pages>
  <Words>737</Words>
  <Characters>5623</Characters>
  <CharactersWithSpaces>6565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2018-01-29T10:51:00Z</dcterms:created>
  <dc:creator/>
  <dc:description/>
  <dc:language>lt-LT</dc:language>
  <cp:lastModifiedBy/>
  <cp:lastPrinted>2018-03-12T16:10:53Z</cp:lastPrinted>
  <dcterms:modified xsi:type="dcterms:W3CDTF">2018-03-12T16:15:13Z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